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3C8F" w14:textId="4D0EB13F" w:rsidR="00B77748" w:rsidRDefault="00B77748" w:rsidP="00B77748">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12</w:t>
      </w:r>
      <w:r w:rsidR="008964CC">
        <w:rPr>
          <w:b/>
          <w:sz w:val="24"/>
          <w:szCs w:val="24"/>
        </w:rPr>
        <w:t>bis</w:t>
      </w:r>
      <w:r>
        <w:rPr>
          <w:b/>
          <w:i/>
          <w:noProof/>
          <w:sz w:val="28"/>
        </w:rPr>
        <w:tab/>
      </w:r>
      <w:r w:rsidR="00D81A1C" w:rsidRPr="00D81A1C">
        <w:rPr>
          <w:b/>
          <w:noProof/>
          <w:sz w:val="24"/>
        </w:rPr>
        <w:t>R4-2415510</w:t>
      </w:r>
    </w:p>
    <w:p w14:paraId="456F64AD" w14:textId="54021FDC" w:rsidR="00135619" w:rsidRDefault="008964CC" w:rsidP="00D309CC">
      <w:pPr>
        <w:tabs>
          <w:tab w:val="left" w:pos="2160"/>
        </w:tabs>
        <w:rPr>
          <w:rFonts w:ascii="Arial" w:hAnsi="Arial" w:cs="Arial"/>
          <w:b/>
          <w:noProof/>
          <w:szCs w:val="20"/>
          <w:lang w:val="en-GB" w:eastAsia="en-US"/>
        </w:rPr>
      </w:pPr>
      <w:r w:rsidRPr="008964CC">
        <w:rPr>
          <w:rFonts w:ascii="Arial" w:hAnsi="Arial" w:cs="Arial"/>
          <w:b/>
          <w:noProof/>
          <w:szCs w:val="20"/>
          <w:lang w:val="en-GB" w:eastAsia="en-US"/>
        </w:rPr>
        <w:t>Hefei, Anhui, China, 14th – 18th October, 2024</w:t>
      </w:r>
    </w:p>
    <w:p w14:paraId="74D48D19" w14:textId="77777777" w:rsidR="00B77748" w:rsidRPr="00B77748" w:rsidRDefault="00B77748" w:rsidP="00D309CC">
      <w:pPr>
        <w:tabs>
          <w:tab w:val="left" w:pos="2160"/>
        </w:tabs>
        <w:rPr>
          <w:rFonts w:ascii="Arial" w:hAnsi="Arial" w:cs="Arial"/>
          <w:b/>
          <w:lang w:val="en-GB"/>
        </w:rPr>
      </w:pPr>
    </w:p>
    <w:p w14:paraId="6DDCE159" w14:textId="6E84F878" w:rsidR="00D309CC" w:rsidRPr="0008103A" w:rsidRDefault="00D309CC" w:rsidP="00D309CC">
      <w:pPr>
        <w:pStyle w:val="CH"/>
        <w:rPr>
          <w:b w:val="0"/>
        </w:rPr>
      </w:pPr>
      <w:r w:rsidRPr="0008103A">
        <w:t>Agenda item:</w:t>
      </w:r>
      <w:r>
        <w:tab/>
      </w:r>
      <w:r w:rsidR="008964CC">
        <w:t>6</w:t>
      </w:r>
      <w:r w:rsidR="00A255D6">
        <w:t>.</w:t>
      </w:r>
      <w:r w:rsidR="00F260A8">
        <w:t>6.</w:t>
      </w:r>
      <w:r w:rsidR="00E1535D">
        <w:t>2</w:t>
      </w:r>
    </w:p>
    <w:p w14:paraId="4DBE005A" w14:textId="32DE9276" w:rsidR="00D309CC" w:rsidRPr="0008103A" w:rsidRDefault="00D309CC" w:rsidP="00D309CC">
      <w:pPr>
        <w:pStyle w:val="CH"/>
        <w:rPr>
          <w:b w:val="0"/>
        </w:rPr>
      </w:pPr>
      <w:r>
        <w:t>Source:</w:t>
      </w:r>
      <w:r>
        <w:tab/>
        <w:t>Apple</w:t>
      </w:r>
    </w:p>
    <w:p w14:paraId="0D2061A1" w14:textId="2DA430A4" w:rsidR="00D309CC" w:rsidRDefault="00D309CC" w:rsidP="00112D80">
      <w:pPr>
        <w:pStyle w:val="CH"/>
        <w:ind w:left="2268" w:hanging="2268"/>
      </w:pPr>
      <w:r w:rsidRPr="0008103A">
        <w:t>Title:</w:t>
      </w:r>
      <w:r w:rsidRPr="0008103A">
        <w:tab/>
      </w:r>
      <w:r w:rsidR="00E1535D" w:rsidRPr="00E1535D">
        <w:t>On methods for reducing the number of UE Rx chains for fragmented carriers</w:t>
      </w:r>
    </w:p>
    <w:p w14:paraId="2E4E044D" w14:textId="306BE6CD" w:rsidR="00D309CC" w:rsidRDefault="00D309CC" w:rsidP="00D309CC">
      <w:pPr>
        <w:pStyle w:val="CH"/>
      </w:pPr>
      <w:r>
        <w:t>Document for:</w:t>
      </w:r>
      <w:r>
        <w:tab/>
      </w:r>
      <w:r w:rsidR="00F538FE">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FAF02DD" w:rsidR="00650EB8" w:rsidRDefault="00650EB8" w:rsidP="001D69B8">
      <w:pPr>
        <w:pStyle w:val="B1"/>
        <w:overflowPunct w:val="0"/>
        <w:autoSpaceDE w:val="0"/>
        <w:autoSpaceDN w:val="0"/>
        <w:adjustRightInd w:val="0"/>
        <w:spacing w:before="180" w:after="180"/>
        <w:ind w:left="0" w:firstLine="0"/>
        <w:textAlignment w:val="baseline"/>
        <w:rPr>
          <w:sz w:val="20"/>
          <w:szCs w:val="20"/>
          <w:lang w:eastAsia="ja-JP"/>
        </w:rPr>
      </w:pPr>
      <w:r>
        <w:rPr>
          <w:noProof/>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Pr>
          <w:sz w:val="20"/>
          <w:szCs w:val="20"/>
          <w:lang w:eastAsia="ja-JP"/>
        </w:rPr>
        <w:t>At RAN#104, a R19 SI on fragmented carriers was approved</w:t>
      </w:r>
      <w:r w:rsidR="00AF42F5">
        <w:rPr>
          <w:sz w:val="20"/>
          <w:szCs w:val="20"/>
          <w:lang w:eastAsia="ja-JP"/>
        </w:rPr>
        <w:t xml:space="preserve"> [1]</w:t>
      </w:r>
      <w:r>
        <w:rPr>
          <w:sz w:val="20"/>
          <w:szCs w:val="20"/>
          <w:lang w:eastAsia="ja-JP"/>
        </w:rPr>
        <w:t>, with the following objective:</w:t>
      </w:r>
    </w:p>
    <w:p w14:paraId="20B0117C" w14:textId="77777777" w:rsidR="00E566AD" w:rsidRDefault="00E566AD" w:rsidP="00E566AD">
      <w:pPr>
        <w:pStyle w:val="B1"/>
        <w:overflowPunct w:val="0"/>
        <w:autoSpaceDE w:val="0"/>
        <w:autoSpaceDN w:val="0"/>
        <w:adjustRightInd w:val="0"/>
        <w:spacing w:before="180" w:after="180"/>
        <w:ind w:left="0" w:firstLine="0"/>
        <w:textAlignment w:val="baseline"/>
        <w:rPr>
          <w:sz w:val="20"/>
          <w:szCs w:val="20"/>
        </w:rPr>
      </w:pPr>
      <w:r>
        <w:rPr>
          <w:sz w:val="20"/>
          <w:szCs w:val="20"/>
        </w:rPr>
        <w:t>At the last RAN4 meeting, a WF was agreed that captures the agreements and open issues [2]. In this contribution, we share our views on the open issues.</w:t>
      </w:r>
    </w:p>
    <w:p w14:paraId="42E3FB41" w14:textId="5877308A" w:rsidR="004C5265" w:rsidRPr="005037D3" w:rsidRDefault="008E7986" w:rsidP="005037D3">
      <w:pPr>
        <w:pStyle w:val="Heading1"/>
      </w:pPr>
      <w:r>
        <w:t>2</w:t>
      </w:r>
      <w:r>
        <w:tab/>
      </w:r>
      <w:r w:rsidR="0077432F">
        <w:t>Discussion</w:t>
      </w:r>
    </w:p>
    <w:p w14:paraId="756DBD6E" w14:textId="77777777" w:rsidR="004C1771" w:rsidRDefault="004C1771" w:rsidP="00431952">
      <w:pPr>
        <w:autoSpaceDE w:val="0"/>
        <w:autoSpaceDN w:val="0"/>
        <w:adjustRightInd w:val="0"/>
        <w:jc w:val="both"/>
        <w:rPr>
          <w:b/>
          <w:bCs/>
          <w:color w:val="000000"/>
          <w:sz w:val="20"/>
          <w:szCs w:val="20"/>
          <w:u w:val="single"/>
        </w:rPr>
      </w:pPr>
    </w:p>
    <w:p w14:paraId="31C89353" w14:textId="77777777" w:rsidR="004C1771" w:rsidRPr="00F24231" w:rsidRDefault="004C1771" w:rsidP="004C1771">
      <w:pPr>
        <w:autoSpaceDE w:val="0"/>
        <w:autoSpaceDN w:val="0"/>
        <w:adjustRightInd w:val="0"/>
        <w:jc w:val="both"/>
        <w:rPr>
          <w:b/>
          <w:bCs/>
          <w:color w:val="000000"/>
          <w:sz w:val="20"/>
          <w:szCs w:val="20"/>
          <w:u w:val="single"/>
        </w:rPr>
      </w:pPr>
      <w:r>
        <w:rPr>
          <w:b/>
          <w:bCs/>
          <w:color w:val="000000"/>
          <w:sz w:val="20"/>
          <w:szCs w:val="20"/>
          <w:u w:val="single"/>
        </w:rPr>
        <w:t>Scope confirmation</w:t>
      </w:r>
    </w:p>
    <w:p w14:paraId="76C89723" w14:textId="77777777" w:rsidR="004C1771" w:rsidRPr="00F04A63" w:rsidRDefault="004C1771" w:rsidP="004C1771">
      <w:pPr>
        <w:autoSpaceDE w:val="0"/>
        <w:autoSpaceDN w:val="0"/>
        <w:adjustRightInd w:val="0"/>
        <w:jc w:val="both"/>
        <w:rPr>
          <w:b/>
          <w:bCs/>
          <w:color w:val="000000"/>
          <w:sz w:val="20"/>
          <w:szCs w:val="20"/>
        </w:rPr>
      </w:pPr>
    </w:p>
    <w:p w14:paraId="085B1E91" w14:textId="77777777" w:rsidR="004C1771" w:rsidRDefault="004C1771" w:rsidP="004C1771">
      <w:pPr>
        <w:autoSpaceDE w:val="0"/>
        <w:autoSpaceDN w:val="0"/>
        <w:adjustRightInd w:val="0"/>
        <w:jc w:val="both"/>
        <w:rPr>
          <w:color w:val="000000"/>
          <w:sz w:val="20"/>
          <w:szCs w:val="20"/>
        </w:rPr>
      </w:pPr>
      <w:r>
        <w:rPr>
          <w:color w:val="000000"/>
          <w:sz w:val="20"/>
          <w:szCs w:val="20"/>
        </w:rPr>
        <w:t>In the WF, the following is put in brackets pending further confirmation. The reason is to allow companies to check the potential impact on UE implementation.</w:t>
      </w:r>
    </w:p>
    <w:p w14:paraId="2AB0561A" w14:textId="77777777" w:rsidR="004C1771" w:rsidRDefault="004C1771" w:rsidP="004C1771">
      <w:pPr>
        <w:autoSpaceDE w:val="0"/>
        <w:autoSpaceDN w:val="0"/>
        <w:adjustRightInd w:val="0"/>
        <w:jc w:val="both"/>
        <w:rPr>
          <w:color w:val="000000"/>
          <w:sz w:val="20"/>
          <w:szCs w:val="20"/>
        </w:rPr>
      </w:pPr>
    </w:p>
    <w:tbl>
      <w:tblPr>
        <w:tblStyle w:val="TableGrid"/>
        <w:tblW w:w="0" w:type="auto"/>
        <w:tblLook w:val="04A0" w:firstRow="1" w:lastRow="0" w:firstColumn="1" w:lastColumn="0" w:noHBand="0" w:noVBand="1"/>
      </w:tblPr>
      <w:tblGrid>
        <w:gridCol w:w="9631"/>
      </w:tblGrid>
      <w:tr w:rsidR="004C1771" w14:paraId="58DA9321" w14:textId="77777777" w:rsidTr="00352CF4">
        <w:tc>
          <w:tcPr>
            <w:tcW w:w="9631" w:type="dxa"/>
          </w:tcPr>
          <w:p w14:paraId="49E3EA7A" w14:textId="77777777" w:rsidR="004C1771" w:rsidRDefault="004C1771" w:rsidP="004C1771">
            <w:pPr>
              <w:pStyle w:val="Date"/>
              <w:numPr>
                <w:ilvl w:val="0"/>
                <w:numId w:val="37"/>
              </w:numPr>
              <w:overflowPunct/>
              <w:autoSpaceDE/>
              <w:autoSpaceDN/>
              <w:adjustRightInd/>
              <w:spacing w:line="240" w:lineRule="atLeast"/>
              <w:ind w:leftChars="0"/>
              <w:rPr>
                <w:color w:val="0070C0"/>
                <w:szCs w:val="24"/>
                <w:highlight w:val="green"/>
                <w:lang w:eastAsia="zh-CN"/>
              </w:rPr>
            </w:pPr>
            <w:bookmarkStart w:id="11" w:name="OLE_LINK46"/>
            <w:bookmarkStart w:id="12" w:name="OLE_LINK35"/>
            <w:r>
              <w:rPr>
                <w:color w:val="0070C0"/>
                <w:szCs w:val="24"/>
                <w:highlight w:val="green"/>
                <w:lang w:eastAsia="zh-CN"/>
              </w:rPr>
              <w:t xml:space="preserve">[The scope should be those bands, where the fragments are fully confined within 100MHz, which includes all FDD/SDL bands and TDD bands </w:t>
            </w:r>
          </w:p>
          <w:bookmarkEnd w:id="11"/>
          <w:p w14:paraId="47A72BA7" w14:textId="77777777" w:rsidR="004C1771" w:rsidRDefault="004C1771" w:rsidP="004C1771">
            <w:pPr>
              <w:pStyle w:val="Date"/>
              <w:numPr>
                <w:ilvl w:val="1"/>
                <w:numId w:val="37"/>
              </w:numPr>
              <w:overflowPunct/>
              <w:autoSpaceDE/>
              <w:autoSpaceDN/>
              <w:adjustRightInd/>
              <w:spacing w:line="240" w:lineRule="atLeast"/>
              <w:ind w:leftChars="0"/>
              <w:rPr>
                <w:color w:val="0070C0"/>
                <w:szCs w:val="24"/>
                <w:highlight w:val="green"/>
                <w:lang w:eastAsia="zh-CN"/>
              </w:rPr>
            </w:pPr>
            <w:r>
              <w:rPr>
                <w:color w:val="0070C0"/>
                <w:szCs w:val="24"/>
                <w:highlight w:val="green"/>
                <w:lang w:eastAsia="zh-CN"/>
              </w:rPr>
              <w:t>Consider n2/n25, n3, n7, n66, n41, n39 as the example bands.</w:t>
            </w:r>
          </w:p>
          <w:p w14:paraId="73427DA2" w14:textId="77777777" w:rsidR="004C1771" w:rsidRPr="002A1D5F" w:rsidRDefault="004C1771" w:rsidP="004C1771">
            <w:pPr>
              <w:pStyle w:val="Date"/>
              <w:numPr>
                <w:ilvl w:val="2"/>
                <w:numId w:val="37"/>
              </w:numPr>
              <w:overflowPunct/>
              <w:autoSpaceDE/>
              <w:autoSpaceDN/>
              <w:adjustRightInd/>
              <w:spacing w:line="240" w:lineRule="atLeast"/>
              <w:ind w:leftChars="0"/>
              <w:rPr>
                <w:color w:val="0070C0"/>
                <w:szCs w:val="24"/>
                <w:highlight w:val="green"/>
                <w:lang w:eastAsia="zh-CN"/>
              </w:rPr>
            </w:pPr>
            <w:bookmarkStart w:id="13" w:name="OLE_LINK47"/>
            <w:r>
              <w:rPr>
                <w:color w:val="0070C0"/>
                <w:szCs w:val="24"/>
                <w:highlight w:val="green"/>
                <w:lang w:eastAsia="zh-CN"/>
              </w:rPr>
              <w:t>Provide the details related to gap between fragmented DL blocks]</w:t>
            </w:r>
            <w:bookmarkEnd w:id="12"/>
            <w:bookmarkEnd w:id="13"/>
          </w:p>
        </w:tc>
      </w:tr>
    </w:tbl>
    <w:p w14:paraId="544B4CC0" w14:textId="77777777" w:rsidR="004C1771" w:rsidRDefault="004C1771" w:rsidP="004C1771">
      <w:pPr>
        <w:autoSpaceDE w:val="0"/>
        <w:autoSpaceDN w:val="0"/>
        <w:adjustRightInd w:val="0"/>
        <w:jc w:val="both"/>
        <w:rPr>
          <w:color w:val="000000"/>
          <w:sz w:val="20"/>
          <w:szCs w:val="20"/>
        </w:rPr>
      </w:pPr>
    </w:p>
    <w:p w14:paraId="67CC53F0" w14:textId="77777777" w:rsidR="004C1771" w:rsidRDefault="004C1771" w:rsidP="004C1771">
      <w:pPr>
        <w:autoSpaceDE w:val="0"/>
        <w:autoSpaceDN w:val="0"/>
        <w:adjustRightInd w:val="0"/>
        <w:jc w:val="both"/>
        <w:rPr>
          <w:color w:val="000000"/>
          <w:sz w:val="20"/>
          <w:szCs w:val="20"/>
        </w:rPr>
      </w:pPr>
    </w:p>
    <w:p w14:paraId="24BD1780" w14:textId="77777777" w:rsidR="004C1771" w:rsidRDefault="004C1771" w:rsidP="004C1771">
      <w:pPr>
        <w:autoSpaceDE w:val="0"/>
        <w:autoSpaceDN w:val="0"/>
        <w:adjustRightInd w:val="0"/>
        <w:jc w:val="both"/>
        <w:rPr>
          <w:color w:val="000000"/>
          <w:sz w:val="20"/>
          <w:szCs w:val="20"/>
        </w:rPr>
      </w:pPr>
    </w:p>
    <w:p w14:paraId="053B3FE7" w14:textId="02811B1C" w:rsidR="004C1771" w:rsidRDefault="004C1771" w:rsidP="004C1771">
      <w:pPr>
        <w:autoSpaceDE w:val="0"/>
        <w:autoSpaceDN w:val="0"/>
        <w:adjustRightInd w:val="0"/>
        <w:jc w:val="both"/>
        <w:rPr>
          <w:color w:val="000000"/>
          <w:sz w:val="20"/>
          <w:szCs w:val="20"/>
        </w:rPr>
      </w:pPr>
      <w:r>
        <w:rPr>
          <w:color w:val="000000"/>
          <w:sz w:val="20"/>
          <w:szCs w:val="20"/>
        </w:rPr>
        <w:t>As to the number of fragments and whether the fragments are contained the 100MHz range, there are three different cases. This is shown in Fig. 1. In Case 1, two fragments are fully contained in a 100MHz range</w:t>
      </w:r>
      <w:r w:rsidR="005C2C5E">
        <w:rPr>
          <w:color w:val="000000"/>
          <w:sz w:val="20"/>
          <w:szCs w:val="20"/>
        </w:rPr>
        <w:t>, which is the scope of the SI</w:t>
      </w:r>
      <w:r>
        <w:rPr>
          <w:color w:val="000000"/>
          <w:sz w:val="20"/>
          <w:szCs w:val="20"/>
        </w:rPr>
        <w:t xml:space="preserve">; in Case 2, two fragments are not fully contained in a 100MHz range; in Case 3, while the first two fragments, i.e., Fragments </w:t>
      </w:r>
      <w:r>
        <w:rPr>
          <w:color w:val="000000"/>
          <w:sz w:val="20"/>
          <w:szCs w:val="20"/>
        </w:rPr>
        <w:lastRenderedPageBreak/>
        <w:t>1 and 2, are fully contained in a 100MHz range, there are additional fragments, say Fragment 3, which falls outside of the 100MHz range.</w:t>
      </w:r>
    </w:p>
    <w:p w14:paraId="4D0F2F73" w14:textId="77777777" w:rsidR="004C1771" w:rsidRDefault="004C1771" w:rsidP="004C1771">
      <w:pPr>
        <w:autoSpaceDE w:val="0"/>
        <w:autoSpaceDN w:val="0"/>
        <w:adjustRightInd w:val="0"/>
        <w:jc w:val="both"/>
        <w:rPr>
          <w:color w:val="000000"/>
          <w:sz w:val="20"/>
          <w:szCs w:val="20"/>
        </w:rPr>
      </w:pPr>
    </w:p>
    <w:p w14:paraId="5A9C20E6" w14:textId="77777777" w:rsidR="004C1771" w:rsidRDefault="004C1771" w:rsidP="004C1771">
      <w:pPr>
        <w:autoSpaceDE w:val="0"/>
        <w:autoSpaceDN w:val="0"/>
        <w:adjustRightInd w:val="0"/>
        <w:jc w:val="center"/>
        <w:rPr>
          <w:color w:val="000000"/>
          <w:sz w:val="20"/>
          <w:szCs w:val="20"/>
        </w:rPr>
      </w:pPr>
      <w:r w:rsidRPr="00D40E9C">
        <w:rPr>
          <w:noProof/>
          <w:color w:val="000000"/>
          <w:sz w:val="20"/>
          <w:szCs w:val="20"/>
        </w:rPr>
        <w:drawing>
          <wp:inline distT="0" distB="0" distL="0" distR="0" wp14:anchorId="6BA8DDB9" wp14:editId="484EE1AA">
            <wp:extent cx="1600200" cy="1088136"/>
            <wp:effectExtent l="0" t="0" r="0" b="0"/>
            <wp:docPr id="76807798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77989" name="Picture 1" descr="A screenshot of a computer&#10;&#10;Description automatically generated"/>
                    <pic:cNvPicPr/>
                  </pic:nvPicPr>
                  <pic:blipFill>
                    <a:blip r:embed="rId9"/>
                    <a:stretch>
                      <a:fillRect/>
                    </a:stretch>
                  </pic:blipFill>
                  <pic:spPr>
                    <a:xfrm>
                      <a:off x="0" y="0"/>
                      <a:ext cx="1600200" cy="1088136"/>
                    </a:xfrm>
                    <a:prstGeom prst="rect">
                      <a:avLst/>
                    </a:prstGeom>
                  </pic:spPr>
                </pic:pic>
              </a:graphicData>
            </a:graphic>
          </wp:inline>
        </w:drawing>
      </w:r>
    </w:p>
    <w:p w14:paraId="32A6F464" w14:textId="77777777" w:rsidR="004C1771" w:rsidRDefault="004C1771" w:rsidP="004C1771">
      <w:pPr>
        <w:autoSpaceDE w:val="0"/>
        <w:autoSpaceDN w:val="0"/>
        <w:adjustRightInd w:val="0"/>
        <w:jc w:val="center"/>
        <w:rPr>
          <w:color w:val="000000"/>
          <w:sz w:val="20"/>
          <w:szCs w:val="20"/>
        </w:rPr>
      </w:pPr>
      <w:r>
        <w:rPr>
          <w:color w:val="000000"/>
          <w:sz w:val="20"/>
          <w:szCs w:val="20"/>
        </w:rPr>
        <w:t>Case 1</w:t>
      </w:r>
    </w:p>
    <w:p w14:paraId="49FA7C31" w14:textId="77777777" w:rsidR="004C1771" w:rsidRDefault="004C1771" w:rsidP="004C1771">
      <w:pPr>
        <w:autoSpaceDE w:val="0"/>
        <w:autoSpaceDN w:val="0"/>
        <w:adjustRightInd w:val="0"/>
        <w:jc w:val="center"/>
        <w:rPr>
          <w:color w:val="000000"/>
          <w:sz w:val="20"/>
          <w:szCs w:val="20"/>
        </w:rPr>
      </w:pPr>
    </w:p>
    <w:p w14:paraId="297B31CE" w14:textId="77777777" w:rsidR="004C1771" w:rsidRDefault="004C1771" w:rsidP="004C1771">
      <w:pPr>
        <w:autoSpaceDE w:val="0"/>
        <w:autoSpaceDN w:val="0"/>
        <w:adjustRightInd w:val="0"/>
        <w:jc w:val="center"/>
        <w:rPr>
          <w:color w:val="000000"/>
          <w:sz w:val="20"/>
          <w:szCs w:val="20"/>
        </w:rPr>
      </w:pPr>
      <w:r w:rsidRPr="00D40E9C">
        <w:rPr>
          <w:noProof/>
          <w:color w:val="000000"/>
          <w:sz w:val="20"/>
          <w:szCs w:val="20"/>
        </w:rPr>
        <w:drawing>
          <wp:inline distT="0" distB="0" distL="0" distR="0" wp14:anchorId="15342056" wp14:editId="0BC93419">
            <wp:extent cx="1600200" cy="1088136"/>
            <wp:effectExtent l="0" t="0" r="0" b="0"/>
            <wp:docPr id="132914610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146102" name="Picture 1" descr="A diagram of a computer&#10;&#10;Description automatically generated"/>
                    <pic:cNvPicPr/>
                  </pic:nvPicPr>
                  <pic:blipFill>
                    <a:blip r:embed="rId10"/>
                    <a:stretch>
                      <a:fillRect/>
                    </a:stretch>
                  </pic:blipFill>
                  <pic:spPr>
                    <a:xfrm>
                      <a:off x="0" y="0"/>
                      <a:ext cx="1600200" cy="1088136"/>
                    </a:xfrm>
                    <a:prstGeom prst="rect">
                      <a:avLst/>
                    </a:prstGeom>
                  </pic:spPr>
                </pic:pic>
              </a:graphicData>
            </a:graphic>
          </wp:inline>
        </w:drawing>
      </w:r>
    </w:p>
    <w:p w14:paraId="763262AE" w14:textId="77777777" w:rsidR="004C1771" w:rsidRDefault="004C1771" w:rsidP="004C1771">
      <w:pPr>
        <w:autoSpaceDE w:val="0"/>
        <w:autoSpaceDN w:val="0"/>
        <w:adjustRightInd w:val="0"/>
        <w:jc w:val="center"/>
        <w:rPr>
          <w:color w:val="000000"/>
          <w:sz w:val="20"/>
          <w:szCs w:val="20"/>
        </w:rPr>
      </w:pPr>
      <w:r>
        <w:rPr>
          <w:color w:val="000000"/>
          <w:sz w:val="20"/>
          <w:szCs w:val="20"/>
        </w:rPr>
        <w:t>Case 2</w:t>
      </w:r>
    </w:p>
    <w:p w14:paraId="0600ABEB" w14:textId="77777777" w:rsidR="004C1771" w:rsidRDefault="004C1771" w:rsidP="004C1771">
      <w:pPr>
        <w:autoSpaceDE w:val="0"/>
        <w:autoSpaceDN w:val="0"/>
        <w:adjustRightInd w:val="0"/>
        <w:jc w:val="center"/>
        <w:rPr>
          <w:color w:val="000000"/>
          <w:sz w:val="20"/>
          <w:szCs w:val="20"/>
        </w:rPr>
      </w:pPr>
    </w:p>
    <w:p w14:paraId="62D00FD7" w14:textId="77777777" w:rsidR="004C1771" w:rsidRDefault="004C1771" w:rsidP="004C1771">
      <w:pPr>
        <w:autoSpaceDE w:val="0"/>
        <w:autoSpaceDN w:val="0"/>
        <w:adjustRightInd w:val="0"/>
        <w:jc w:val="center"/>
        <w:rPr>
          <w:color w:val="000000"/>
          <w:sz w:val="20"/>
          <w:szCs w:val="20"/>
        </w:rPr>
      </w:pPr>
      <w:r w:rsidRPr="00D40E9C">
        <w:rPr>
          <w:noProof/>
          <w:color w:val="000000"/>
          <w:sz w:val="20"/>
          <w:szCs w:val="20"/>
        </w:rPr>
        <w:drawing>
          <wp:inline distT="0" distB="0" distL="0" distR="0" wp14:anchorId="40E0670B" wp14:editId="7BDDE12B">
            <wp:extent cx="2359152" cy="1078992"/>
            <wp:effectExtent l="0" t="0" r="3175" b="0"/>
            <wp:docPr id="905016258"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016258" name="Picture 1" descr="A close-up of a computer screen&#10;&#10;Description automatically generated"/>
                    <pic:cNvPicPr/>
                  </pic:nvPicPr>
                  <pic:blipFill>
                    <a:blip r:embed="rId11"/>
                    <a:stretch>
                      <a:fillRect/>
                    </a:stretch>
                  </pic:blipFill>
                  <pic:spPr>
                    <a:xfrm>
                      <a:off x="0" y="0"/>
                      <a:ext cx="2359152" cy="1078992"/>
                    </a:xfrm>
                    <a:prstGeom prst="rect">
                      <a:avLst/>
                    </a:prstGeom>
                  </pic:spPr>
                </pic:pic>
              </a:graphicData>
            </a:graphic>
          </wp:inline>
        </w:drawing>
      </w:r>
    </w:p>
    <w:p w14:paraId="62FC9128" w14:textId="77777777" w:rsidR="004C1771" w:rsidRDefault="004C1771" w:rsidP="004C1771">
      <w:pPr>
        <w:autoSpaceDE w:val="0"/>
        <w:autoSpaceDN w:val="0"/>
        <w:adjustRightInd w:val="0"/>
        <w:jc w:val="center"/>
        <w:rPr>
          <w:color w:val="000000"/>
          <w:sz w:val="20"/>
          <w:szCs w:val="20"/>
        </w:rPr>
      </w:pPr>
      <w:r>
        <w:rPr>
          <w:color w:val="000000"/>
          <w:sz w:val="20"/>
          <w:szCs w:val="20"/>
        </w:rPr>
        <w:t>Case 3</w:t>
      </w:r>
    </w:p>
    <w:p w14:paraId="0E599482" w14:textId="77777777" w:rsidR="004C1771" w:rsidRDefault="004C1771" w:rsidP="004C1771">
      <w:pPr>
        <w:autoSpaceDE w:val="0"/>
        <w:autoSpaceDN w:val="0"/>
        <w:adjustRightInd w:val="0"/>
        <w:jc w:val="both"/>
        <w:rPr>
          <w:color w:val="000000"/>
          <w:sz w:val="20"/>
          <w:szCs w:val="20"/>
        </w:rPr>
      </w:pPr>
    </w:p>
    <w:p w14:paraId="1DA30510" w14:textId="77777777" w:rsidR="004C1771" w:rsidRPr="00AE03D3" w:rsidRDefault="004C1771" w:rsidP="004C1771">
      <w:pPr>
        <w:spacing w:before="100" w:beforeAutospacing="1" w:after="100"/>
        <w:jc w:val="center"/>
        <w:rPr>
          <w:b/>
          <w:bCs/>
          <w:sz w:val="20"/>
          <w:szCs w:val="20"/>
        </w:rPr>
      </w:pPr>
      <w:r w:rsidRPr="00AE03D3">
        <w:rPr>
          <w:b/>
          <w:bCs/>
          <w:sz w:val="20"/>
          <w:szCs w:val="20"/>
        </w:rPr>
        <w:t xml:space="preserve">Figure 1. </w:t>
      </w:r>
      <w:r>
        <w:rPr>
          <w:b/>
          <w:bCs/>
          <w:sz w:val="20"/>
          <w:szCs w:val="20"/>
        </w:rPr>
        <w:t>Different cases in terms of number of fragments and whether the fragments are contained in 100MHz range</w:t>
      </w:r>
    </w:p>
    <w:p w14:paraId="1205F561" w14:textId="77777777" w:rsidR="004C1771" w:rsidRDefault="004C1771" w:rsidP="004C1771">
      <w:pPr>
        <w:spacing w:before="100" w:beforeAutospacing="1" w:after="100"/>
        <w:rPr>
          <w:color w:val="000000"/>
          <w:sz w:val="20"/>
          <w:szCs w:val="20"/>
        </w:rPr>
      </w:pPr>
    </w:p>
    <w:p w14:paraId="09A3576B" w14:textId="27CCFF41" w:rsidR="004C1771" w:rsidRDefault="004C1771" w:rsidP="004C1771">
      <w:pPr>
        <w:spacing w:before="100" w:beforeAutospacing="1" w:after="100"/>
        <w:rPr>
          <w:color w:val="000000"/>
          <w:sz w:val="20"/>
          <w:szCs w:val="20"/>
        </w:rPr>
      </w:pPr>
      <w:r>
        <w:rPr>
          <w:color w:val="000000"/>
          <w:sz w:val="20"/>
          <w:szCs w:val="20"/>
        </w:rPr>
        <w:t>In terms of implementation, o</w:t>
      </w:r>
      <w:r w:rsidRPr="00FF0368">
        <w:rPr>
          <w:color w:val="000000"/>
          <w:sz w:val="20"/>
          <w:szCs w:val="20"/>
        </w:rPr>
        <w:t>ne RF chain including ADC can handle more than 100MHz</w:t>
      </w:r>
      <w:r>
        <w:rPr>
          <w:color w:val="000000"/>
          <w:sz w:val="20"/>
          <w:szCs w:val="20"/>
        </w:rPr>
        <w:t xml:space="preserve">. On the other hand, usually </w:t>
      </w:r>
      <w:r w:rsidRPr="00FF0368">
        <w:rPr>
          <w:color w:val="000000"/>
          <w:sz w:val="20"/>
          <w:szCs w:val="20"/>
        </w:rPr>
        <w:t>BB can handle up to 100MHz per CC</w:t>
      </w:r>
      <w:r>
        <w:rPr>
          <w:color w:val="000000"/>
          <w:sz w:val="20"/>
          <w:szCs w:val="20"/>
        </w:rPr>
        <w:t>, since 100MHz is the max. CBW in FR1</w:t>
      </w:r>
      <w:r w:rsidRPr="00FF0368">
        <w:rPr>
          <w:color w:val="000000"/>
          <w:sz w:val="20"/>
          <w:szCs w:val="20"/>
        </w:rPr>
        <w:t>.</w:t>
      </w:r>
      <w:r>
        <w:rPr>
          <w:color w:val="000000"/>
          <w:sz w:val="20"/>
          <w:szCs w:val="20"/>
        </w:rPr>
        <w:t xml:space="preserve"> </w:t>
      </w:r>
      <w:r w:rsidRPr="00FF0368">
        <w:rPr>
          <w:color w:val="000000"/>
          <w:sz w:val="20"/>
          <w:szCs w:val="20"/>
        </w:rPr>
        <w:t>More CCs can always be processed separately.</w:t>
      </w:r>
      <w:r>
        <w:rPr>
          <w:color w:val="000000"/>
          <w:sz w:val="20"/>
          <w:szCs w:val="20"/>
        </w:rPr>
        <w:t xml:space="preserve"> In Case 2, the bandwidth of Fragment 1 or Fragment 2 or both </w:t>
      </w:r>
      <w:proofErr w:type="gramStart"/>
      <w:r>
        <w:rPr>
          <w:color w:val="000000"/>
          <w:sz w:val="20"/>
          <w:szCs w:val="20"/>
        </w:rPr>
        <w:t>have to</w:t>
      </w:r>
      <w:proofErr w:type="gramEnd"/>
      <w:r>
        <w:rPr>
          <w:color w:val="000000"/>
          <w:sz w:val="20"/>
          <w:szCs w:val="20"/>
        </w:rPr>
        <w:t xml:space="preserve"> be reduced to be able to fit into 100MHz</w:t>
      </w:r>
      <w:r w:rsidR="005C2C5E">
        <w:rPr>
          <w:color w:val="000000"/>
          <w:sz w:val="20"/>
          <w:szCs w:val="20"/>
        </w:rPr>
        <w:t xml:space="preserve"> if we follow the scope of the SI.</w:t>
      </w:r>
    </w:p>
    <w:p w14:paraId="48E3212E" w14:textId="0DBCCBB5" w:rsidR="005C2C5E" w:rsidRPr="005C2C5E" w:rsidRDefault="005C2C5E" w:rsidP="005C2C5E">
      <w:pPr>
        <w:spacing w:before="100" w:beforeAutospacing="1" w:after="100"/>
        <w:rPr>
          <w:color w:val="000000"/>
          <w:sz w:val="20"/>
          <w:szCs w:val="20"/>
        </w:rPr>
      </w:pPr>
      <w:r>
        <w:rPr>
          <w:color w:val="000000"/>
          <w:sz w:val="20"/>
          <w:szCs w:val="20"/>
        </w:rPr>
        <w:t xml:space="preserve">On the other hand, if we only focus on Case 1 and leave Cases 2 and 3 out in the study, we may run the risk that the final requirements (to be specified in a follow-on WI of this SI) may be different from those for Cases 2 and 3. This is undesirable from RF design standpoint since the RF design usually considers the entire band, not part of the band.   </w:t>
      </w:r>
    </w:p>
    <w:p w14:paraId="74A867C4" w14:textId="77777777" w:rsidR="005C2C5E" w:rsidRDefault="005C2C5E" w:rsidP="005C2C5E">
      <w:pPr>
        <w:spacing w:before="100" w:beforeAutospacing="1" w:after="100"/>
        <w:rPr>
          <w:color w:val="000000"/>
          <w:sz w:val="20"/>
          <w:szCs w:val="20"/>
        </w:rPr>
      </w:pPr>
      <w:r>
        <w:rPr>
          <w:color w:val="000000"/>
          <w:sz w:val="20"/>
          <w:szCs w:val="20"/>
        </w:rPr>
        <w:t>There are two options:</w:t>
      </w:r>
    </w:p>
    <w:p w14:paraId="77D02CB6" w14:textId="593BA99F" w:rsidR="005C2C5E" w:rsidRPr="00D81A1C" w:rsidRDefault="005C2C5E" w:rsidP="00D81A1C">
      <w:pPr>
        <w:pStyle w:val="ListParagraph"/>
        <w:numPr>
          <w:ilvl w:val="0"/>
          <w:numId w:val="41"/>
        </w:numPr>
        <w:spacing w:before="100" w:beforeAutospacing="1" w:after="100"/>
        <w:rPr>
          <w:color w:val="000000"/>
          <w:sz w:val="20"/>
          <w:szCs w:val="20"/>
        </w:rPr>
      </w:pPr>
      <w:r w:rsidRPr="00D81A1C">
        <w:rPr>
          <w:color w:val="000000"/>
          <w:sz w:val="20"/>
          <w:szCs w:val="20"/>
        </w:rPr>
        <w:t>Option 1: The study is focused on Case 1 only</w:t>
      </w:r>
      <w:r w:rsidR="00390CF7">
        <w:rPr>
          <w:color w:val="000000"/>
          <w:sz w:val="20"/>
          <w:szCs w:val="20"/>
        </w:rPr>
        <w:t xml:space="preserve"> following the scope of the SI</w:t>
      </w:r>
      <w:r w:rsidRPr="00D81A1C">
        <w:rPr>
          <w:color w:val="000000"/>
          <w:sz w:val="20"/>
          <w:szCs w:val="20"/>
        </w:rPr>
        <w:t xml:space="preserve">. </w:t>
      </w:r>
    </w:p>
    <w:p w14:paraId="4C7CB5A1" w14:textId="5E9414A0" w:rsidR="005C2C5E" w:rsidRPr="00D81A1C" w:rsidRDefault="005C2C5E" w:rsidP="00D81A1C">
      <w:pPr>
        <w:pStyle w:val="ListParagraph"/>
        <w:numPr>
          <w:ilvl w:val="0"/>
          <w:numId w:val="41"/>
        </w:numPr>
        <w:spacing w:before="100" w:beforeAutospacing="1" w:after="100"/>
        <w:rPr>
          <w:color w:val="000000"/>
          <w:sz w:val="20"/>
          <w:szCs w:val="20"/>
        </w:rPr>
      </w:pPr>
      <w:r w:rsidRPr="00D81A1C">
        <w:rPr>
          <w:color w:val="000000"/>
          <w:sz w:val="20"/>
          <w:szCs w:val="20"/>
        </w:rPr>
        <w:t>Option 2: The study is focused on Case 1 for the time being. Meanwhile, we can request a revision of the scope in Dec. RAN plenary to include Case 2 and Case 3.</w:t>
      </w:r>
    </w:p>
    <w:p w14:paraId="65005431" w14:textId="10F4D371" w:rsidR="005C2C5E" w:rsidRDefault="00390CF7" w:rsidP="004C1771">
      <w:pPr>
        <w:spacing w:before="100" w:beforeAutospacing="1" w:after="100"/>
        <w:rPr>
          <w:color w:val="000000"/>
          <w:sz w:val="20"/>
          <w:szCs w:val="20"/>
        </w:rPr>
      </w:pPr>
      <w:r>
        <w:rPr>
          <w:color w:val="000000"/>
          <w:sz w:val="20"/>
          <w:szCs w:val="20"/>
        </w:rPr>
        <w:t>To ensure the design of using a common RF chain to support larger than 100MHz, we prefer Option 2. Of course, we understand the decision is one of RAN plenary, not RAN4.</w:t>
      </w:r>
    </w:p>
    <w:p w14:paraId="4A70FD0E" w14:textId="14890C99" w:rsidR="004C1771" w:rsidRDefault="004C1771" w:rsidP="004C1771">
      <w:pPr>
        <w:spacing w:before="100" w:beforeAutospacing="1" w:after="100"/>
        <w:rPr>
          <w:b/>
          <w:bCs/>
          <w:i/>
          <w:iCs/>
          <w:sz w:val="20"/>
          <w:szCs w:val="20"/>
        </w:rPr>
      </w:pPr>
      <w:r w:rsidRPr="004E0E90">
        <w:rPr>
          <w:b/>
          <w:bCs/>
          <w:i/>
          <w:iCs/>
          <w:sz w:val="20"/>
          <w:szCs w:val="20"/>
        </w:rPr>
        <w:t xml:space="preserve">Proposal 1: </w:t>
      </w:r>
      <w:r w:rsidR="00390CF7">
        <w:rPr>
          <w:b/>
          <w:bCs/>
          <w:i/>
          <w:iCs/>
          <w:sz w:val="20"/>
          <w:szCs w:val="20"/>
        </w:rPr>
        <w:t>Regarding the scope, there are two options. Option 2 is preferred pending RAN decision.</w:t>
      </w:r>
    </w:p>
    <w:p w14:paraId="5FDC5079" w14:textId="77777777" w:rsidR="00390CF7" w:rsidRPr="00D81A1C" w:rsidRDefault="00390CF7" w:rsidP="00390CF7">
      <w:pPr>
        <w:pStyle w:val="ListParagraph"/>
        <w:numPr>
          <w:ilvl w:val="0"/>
          <w:numId w:val="41"/>
        </w:numPr>
        <w:spacing w:before="100" w:beforeAutospacing="1" w:after="100"/>
        <w:rPr>
          <w:b/>
          <w:bCs/>
          <w:i/>
          <w:iCs/>
          <w:color w:val="000000"/>
          <w:sz w:val="20"/>
          <w:szCs w:val="20"/>
        </w:rPr>
      </w:pPr>
      <w:r w:rsidRPr="00D81A1C">
        <w:rPr>
          <w:b/>
          <w:bCs/>
          <w:i/>
          <w:iCs/>
          <w:color w:val="000000"/>
          <w:sz w:val="20"/>
          <w:szCs w:val="20"/>
        </w:rPr>
        <w:t xml:space="preserve">Option 1: The study is focused on Case 1 only following the scope of the SI. </w:t>
      </w:r>
    </w:p>
    <w:p w14:paraId="2208292C" w14:textId="77777777" w:rsidR="00390CF7" w:rsidRPr="00D81A1C" w:rsidRDefault="00390CF7" w:rsidP="00390CF7">
      <w:pPr>
        <w:pStyle w:val="ListParagraph"/>
        <w:numPr>
          <w:ilvl w:val="0"/>
          <w:numId w:val="41"/>
        </w:numPr>
        <w:spacing w:before="100" w:beforeAutospacing="1" w:after="100"/>
        <w:rPr>
          <w:b/>
          <w:bCs/>
          <w:i/>
          <w:iCs/>
          <w:color w:val="000000"/>
          <w:sz w:val="20"/>
          <w:szCs w:val="20"/>
        </w:rPr>
      </w:pPr>
      <w:r w:rsidRPr="00D81A1C">
        <w:rPr>
          <w:b/>
          <w:bCs/>
          <w:i/>
          <w:iCs/>
          <w:color w:val="000000"/>
          <w:sz w:val="20"/>
          <w:szCs w:val="20"/>
        </w:rPr>
        <w:t>Option 2: The study is focused on Case 1 for the time being. Meanwhile, we can request a revision of the scope in Dec. RAN plenary to include Case 2 and Case 3.</w:t>
      </w:r>
    </w:p>
    <w:p w14:paraId="26564BF7" w14:textId="77777777" w:rsidR="00390CF7" w:rsidRDefault="00390CF7" w:rsidP="004C1771">
      <w:pPr>
        <w:spacing w:before="100" w:beforeAutospacing="1" w:after="100"/>
        <w:rPr>
          <w:sz w:val="20"/>
          <w:szCs w:val="20"/>
        </w:rPr>
      </w:pPr>
    </w:p>
    <w:p w14:paraId="0DCC7B30" w14:textId="379A259B" w:rsidR="00CE4EDA" w:rsidRPr="00D81A1C" w:rsidRDefault="00CE4EDA" w:rsidP="004C1771">
      <w:pPr>
        <w:spacing w:before="100" w:beforeAutospacing="1" w:after="100"/>
        <w:rPr>
          <w:sz w:val="20"/>
          <w:szCs w:val="20"/>
        </w:rPr>
      </w:pPr>
      <w:r>
        <w:rPr>
          <w:sz w:val="20"/>
          <w:szCs w:val="20"/>
        </w:rPr>
        <w:lastRenderedPageBreak/>
        <w:t>Furthermore, regarding the example bands, it is better to understand why band n39 is included. Currently, no intra-band non-contiguous CA has been specified for band n39.</w:t>
      </w:r>
    </w:p>
    <w:p w14:paraId="7BB78B95" w14:textId="77777777" w:rsidR="004C1771" w:rsidRDefault="004C1771" w:rsidP="00431952">
      <w:pPr>
        <w:autoSpaceDE w:val="0"/>
        <w:autoSpaceDN w:val="0"/>
        <w:adjustRightInd w:val="0"/>
        <w:jc w:val="both"/>
        <w:rPr>
          <w:b/>
          <w:bCs/>
          <w:color w:val="000000"/>
          <w:sz w:val="20"/>
          <w:szCs w:val="20"/>
          <w:u w:val="single"/>
        </w:rPr>
      </w:pPr>
    </w:p>
    <w:p w14:paraId="75FAB0C8" w14:textId="77777777" w:rsidR="004C1771" w:rsidRDefault="004C1771" w:rsidP="004C1771">
      <w:pPr>
        <w:autoSpaceDE w:val="0"/>
        <w:autoSpaceDN w:val="0"/>
        <w:adjustRightInd w:val="0"/>
        <w:jc w:val="both"/>
        <w:rPr>
          <w:color w:val="000000"/>
          <w:sz w:val="20"/>
          <w:szCs w:val="20"/>
        </w:rPr>
      </w:pPr>
      <w:r w:rsidRPr="00864E87">
        <w:rPr>
          <w:b/>
          <w:bCs/>
          <w:color w:val="000000"/>
          <w:sz w:val="20"/>
          <w:szCs w:val="20"/>
          <w:u w:val="single"/>
        </w:rPr>
        <w:t>Reference architecture</w:t>
      </w:r>
    </w:p>
    <w:p w14:paraId="20A7CDB4" w14:textId="77777777" w:rsidR="004C1771" w:rsidRDefault="004C1771" w:rsidP="004C1771">
      <w:pPr>
        <w:autoSpaceDE w:val="0"/>
        <w:autoSpaceDN w:val="0"/>
        <w:adjustRightInd w:val="0"/>
        <w:jc w:val="both"/>
        <w:rPr>
          <w:color w:val="000000"/>
          <w:sz w:val="20"/>
          <w:szCs w:val="20"/>
        </w:rPr>
      </w:pPr>
    </w:p>
    <w:p w14:paraId="2D5CD1A2" w14:textId="41F0E84E" w:rsidR="004C1771" w:rsidRDefault="004C1771" w:rsidP="004C1771">
      <w:pPr>
        <w:autoSpaceDE w:val="0"/>
        <w:autoSpaceDN w:val="0"/>
        <w:adjustRightInd w:val="0"/>
        <w:jc w:val="both"/>
        <w:rPr>
          <w:color w:val="000000"/>
          <w:sz w:val="20"/>
          <w:szCs w:val="20"/>
        </w:rPr>
      </w:pPr>
      <w:r>
        <w:rPr>
          <w:color w:val="000000"/>
          <w:sz w:val="20"/>
          <w:szCs w:val="20"/>
        </w:rPr>
        <w:t>The discussion on reference architecture is captured in the WF</w:t>
      </w:r>
      <w:r w:rsidR="005714C9">
        <w:rPr>
          <w:color w:val="000000"/>
          <w:sz w:val="20"/>
          <w:szCs w:val="20"/>
        </w:rPr>
        <w:t xml:space="preserve"> as shown below</w:t>
      </w:r>
      <w:r>
        <w:rPr>
          <w:color w:val="000000"/>
          <w:sz w:val="20"/>
          <w:szCs w:val="20"/>
        </w:rPr>
        <w:t xml:space="preserve"> </w:t>
      </w:r>
    </w:p>
    <w:tbl>
      <w:tblPr>
        <w:tblStyle w:val="TableGrid"/>
        <w:tblW w:w="0" w:type="auto"/>
        <w:tblLook w:val="04A0" w:firstRow="1" w:lastRow="0" w:firstColumn="1" w:lastColumn="0" w:noHBand="0" w:noVBand="1"/>
      </w:tblPr>
      <w:tblGrid>
        <w:gridCol w:w="9631"/>
      </w:tblGrid>
      <w:tr w:rsidR="005714C9" w14:paraId="26AA5801" w14:textId="77777777" w:rsidTr="005714C9">
        <w:tc>
          <w:tcPr>
            <w:tcW w:w="9631" w:type="dxa"/>
          </w:tcPr>
          <w:p w14:paraId="76430DAA" w14:textId="77777777" w:rsidR="005714C9" w:rsidRPr="004C20D9" w:rsidRDefault="005714C9" w:rsidP="005714C9">
            <w:pPr>
              <w:pStyle w:val="Heading4"/>
              <w:spacing w:after="60" w:line="240" w:lineRule="atLeast"/>
              <w:rPr>
                <w:rFonts w:ascii="Times New Roman" w:hAnsi="Times New Roman"/>
                <w:b/>
                <w:color w:val="0070C0"/>
                <w:sz w:val="20"/>
                <w:u w:val="single"/>
                <w:lang w:val="en-US" w:eastAsia="ko-KR"/>
              </w:rPr>
            </w:pPr>
            <w:r>
              <w:rPr>
                <w:rFonts w:ascii="Times New Roman" w:hAnsi="Times New Roman"/>
                <w:b/>
                <w:color w:val="0070C0"/>
                <w:sz w:val="20"/>
                <w:u w:val="single"/>
                <w:lang w:eastAsia="ko-KR"/>
              </w:rPr>
              <w:t>Issue 2-1-2: Reference architecture</w:t>
            </w:r>
          </w:p>
          <w:p w14:paraId="057018D0" w14:textId="77777777" w:rsidR="005714C9" w:rsidRDefault="005714C9" w:rsidP="005714C9">
            <w:pPr>
              <w:spacing w:after="120" w:line="240" w:lineRule="atLeast"/>
              <w:rPr>
                <w:rFonts w:eastAsia="SimSun"/>
                <w:color w:val="0070C0"/>
              </w:rPr>
            </w:pPr>
            <w:r>
              <w:rPr>
                <w:rFonts w:eastAsia="SimSun"/>
                <w:color w:val="0070C0"/>
              </w:rPr>
              <w:t>Recommended WF:</w:t>
            </w:r>
          </w:p>
          <w:p w14:paraId="3874A62D" w14:textId="77777777" w:rsidR="005714C9" w:rsidRDefault="005714C9" w:rsidP="005714C9">
            <w:pPr>
              <w:pStyle w:val="ListParagraph"/>
              <w:numPr>
                <w:ilvl w:val="0"/>
                <w:numId w:val="37"/>
              </w:numPr>
              <w:spacing w:after="120" w:line="240" w:lineRule="atLeast"/>
              <w:ind w:left="720"/>
              <w:contextualSpacing w:val="0"/>
              <w:rPr>
                <w:rFonts w:eastAsia="SimSun"/>
                <w:color w:val="0070C0"/>
                <w:sz w:val="20"/>
              </w:rPr>
            </w:pPr>
            <w:r>
              <w:rPr>
                <w:rFonts w:eastAsia="SimSun"/>
                <w:color w:val="0070C0"/>
                <w:sz w:val="20"/>
              </w:rPr>
              <w:t xml:space="preserve">The existing requirements for DL NCCA was specified based on </w:t>
            </w:r>
            <w:proofErr w:type="gramStart"/>
            <w:r>
              <w:rPr>
                <w:rFonts w:eastAsia="SimSun"/>
                <w:color w:val="0070C0"/>
                <w:sz w:val="20"/>
              </w:rPr>
              <w:t>partially-shared</w:t>
            </w:r>
            <w:proofErr w:type="gramEnd"/>
            <w:r>
              <w:rPr>
                <w:rFonts w:eastAsia="SimSun"/>
                <w:color w:val="0070C0"/>
                <w:sz w:val="20"/>
              </w:rPr>
              <w:t xml:space="preserve"> Rx </w:t>
            </w:r>
            <w:proofErr w:type="spellStart"/>
            <w:r>
              <w:rPr>
                <w:rFonts w:eastAsia="SimSun" w:hint="eastAsia"/>
                <w:color w:val="0070C0"/>
                <w:sz w:val="20"/>
              </w:rPr>
              <w:t>ar</w:t>
            </w:r>
            <w:r>
              <w:rPr>
                <w:rFonts w:eastAsia="SimSun"/>
                <w:color w:val="0070C0"/>
                <w:sz w:val="20"/>
              </w:rPr>
              <w:t>chitectureaccording</w:t>
            </w:r>
            <w:proofErr w:type="spellEnd"/>
            <w:r>
              <w:rPr>
                <w:rFonts w:eastAsia="SimSun"/>
                <w:color w:val="0070C0"/>
                <w:sz w:val="20"/>
              </w:rPr>
              <w:t xml:space="preserve"> to TR36.823. </w:t>
            </w:r>
          </w:p>
          <w:p w14:paraId="6E17D22E" w14:textId="77777777" w:rsidR="005714C9" w:rsidRDefault="005714C9" w:rsidP="005714C9">
            <w:pPr>
              <w:pStyle w:val="ListParagraph"/>
              <w:numPr>
                <w:ilvl w:val="0"/>
                <w:numId w:val="37"/>
              </w:numPr>
              <w:spacing w:after="120" w:line="240" w:lineRule="atLeast"/>
              <w:ind w:left="720"/>
              <w:contextualSpacing w:val="0"/>
              <w:rPr>
                <w:rFonts w:eastAsia="SimSun"/>
                <w:color w:val="0070C0"/>
                <w:sz w:val="20"/>
              </w:rPr>
            </w:pPr>
            <w:r>
              <w:rPr>
                <w:rFonts w:eastAsia="SimSun"/>
                <w:color w:val="0070C0"/>
                <w:sz w:val="20"/>
              </w:rPr>
              <w:t>FFS on following options for reducing number of Rx chains for DL non-contiguous CCs:</w:t>
            </w:r>
          </w:p>
          <w:p w14:paraId="22E713A4" w14:textId="77777777" w:rsidR="005714C9" w:rsidRDefault="005714C9" w:rsidP="005714C9">
            <w:pPr>
              <w:pStyle w:val="ListParagraph"/>
              <w:numPr>
                <w:ilvl w:val="1"/>
                <w:numId w:val="38"/>
              </w:numPr>
              <w:spacing w:after="120" w:line="240" w:lineRule="atLeast"/>
              <w:contextualSpacing w:val="0"/>
              <w:rPr>
                <w:rFonts w:eastAsia="SimSun"/>
                <w:color w:val="0070C0"/>
                <w:sz w:val="20"/>
              </w:rPr>
            </w:pPr>
            <w:r>
              <w:rPr>
                <w:rFonts w:eastAsia="SimSun"/>
                <w:color w:val="0070C0"/>
                <w:sz w:val="20"/>
              </w:rPr>
              <w:t>Option 1: Only the “fully shared Rx chain architecture” needs to be studied</w:t>
            </w:r>
          </w:p>
          <w:p w14:paraId="15E947D5" w14:textId="77777777" w:rsidR="005714C9" w:rsidRDefault="005714C9" w:rsidP="005714C9">
            <w:pPr>
              <w:pStyle w:val="ListParagraph"/>
              <w:numPr>
                <w:ilvl w:val="1"/>
                <w:numId w:val="38"/>
              </w:numPr>
              <w:spacing w:after="120" w:line="240" w:lineRule="atLeast"/>
              <w:contextualSpacing w:val="0"/>
              <w:rPr>
                <w:rFonts w:eastAsia="SimSun"/>
                <w:color w:val="0070C0"/>
                <w:sz w:val="20"/>
              </w:rPr>
            </w:pPr>
            <w:r>
              <w:rPr>
                <w:rFonts w:eastAsia="SimSun"/>
                <w:color w:val="0070C0"/>
                <w:sz w:val="20"/>
              </w:rPr>
              <w:t>Option 2: RAN4 also studies the possibility of supporting only 2Rx in the mandatory 4Rx band below 2700MHz</w:t>
            </w:r>
          </w:p>
          <w:p w14:paraId="31757445" w14:textId="77777777" w:rsidR="005714C9" w:rsidRDefault="005714C9" w:rsidP="005714C9">
            <w:pPr>
              <w:pStyle w:val="ListParagraph"/>
              <w:numPr>
                <w:ilvl w:val="1"/>
                <w:numId w:val="38"/>
              </w:numPr>
              <w:spacing w:after="120" w:line="240" w:lineRule="atLeast"/>
              <w:contextualSpacing w:val="0"/>
              <w:rPr>
                <w:rFonts w:eastAsia="SimSun"/>
                <w:color w:val="0070C0"/>
                <w:sz w:val="20"/>
              </w:rPr>
            </w:pPr>
            <w:r>
              <w:rPr>
                <w:rFonts w:eastAsia="SimSun"/>
                <w:color w:val="0070C0"/>
                <w:sz w:val="20"/>
              </w:rPr>
              <w:t>Other options are not precluded</w:t>
            </w:r>
          </w:p>
          <w:p w14:paraId="01FA5642" w14:textId="77777777" w:rsidR="005714C9" w:rsidRDefault="005714C9" w:rsidP="005714C9">
            <w:pPr>
              <w:pStyle w:val="ListParagraph"/>
              <w:numPr>
                <w:ilvl w:val="0"/>
                <w:numId w:val="37"/>
              </w:numPr>
              <w:spacing w:after="120" w:line="240" w:lineRule="atLeast"/>
              <w:ind w:left="720"/>
              <w:contextualSpacing w:val="0"/>
              <w:rPr>
                <w:rFonts w:eastAsia="SimSun"/>
                <w:color w:val="0070C0"/>
                <w:sz w:val="20"/>
              </w:rPr>
            </w:pPr>
            <w:r>
              <w:rPr>
                <w:rFonts w:eastAsia="SimSun"/>
                <w:color w:val="0070C0"/>
                <w:sz w:val="20"/>
              </w:rPr>
              <w:t>Companies are encouraged to provide baseband assumptions i.e., shared/separated BB filter that may relate to rejection ability toward unwanted signal for the study</w:t>
            </w:r>
          </w:p>
          <w:p w14:paraId="51077899" w14:textId="0C456D55" w:rsidR="005714C9" w:rsidRPr="00EF7406" w:rsidRDefault="005714C9" w:rsidP="00EF7406">
            <w:pPr>
              <w:pStyle w:val="ListParagraph"/>
              <w:numPr>
                <w:ilvl w:val="0"/>
                <w:numId w:val="37"/>
              </w:numPr>
              <w:spacing w:after="120" w:line="240" w:lineRule="atLeast"/>
              <w:ind w:left="936"/>
              <w:contextualSpacing w:val="0"/>
              <w:rPr>
                <w:rFonts w:eastAsia="SimSun"/>
                <w:color w:val="0070C0"/>
                <w:sz w:val="20"/>
              </w:rPr>
            </w:pPr>
            <w:r>
              <w:rPr>
                <w:rFonts w:eastAsia="SimSun"/>
                <w:color w:val="0070C0"/>
                <w:sz w:val="20"/>
              </w:rPr>
              <w:t xml:space="preserve">FFS on whether a single FFT are expected to cover the fragmented carriers or separate FFT are expected for each fragmented carrier. </w:t>
            </w:r>
          </w:p>
        </w:tc>
      </w:tr>
    </w:tbl>
    <w:p w14:paraId="68C405DB" w14:textId="77777777" w:rsidR="004C1771" w:rsidRDefault="004C1771" w:rsidP="00431952">
      <w:pPr>
        <w:autoSpaceDE w:val="0"/>
        <w:autoSpaceDN w:val="0"/>
        <w:adjustRightInd w:val="0"/>
        <w:jc w:val="both"/>
        <w:rPr>
          <w:b/>
          <w:bCs/>
          <w:color w:val="000000"/>
          <w:sz w:val="20"/>
          <w:szCs w:val="20"/>
          <w:u w:val="single"/>
        </w:rPr>
      </w:pPr>
    </w:p>
    <w:p w14:paraId="0F743F3C" w14:textId="328AD583" w:rsidR="004C37D0" w:rsidRDefault="004C37D0" w:rsidP="004C37D0">
      <w:pPr>
        <w:autoSpaceDE w:val="0"/>
        <w:autoSpaceDN w:val="0"/>
        <w:adjustRightInd w:val="0"/>
        <w:jc w:val="both"/>
        <w:rPr>
          <w:color w:val="000000"/>
          <w:sz w:val="20"/>
          <w:szCs w:val="20"/>
        </w:rPr>
      </w:pPr>
      <w:r>
        <w:rPr>
          <w:color w:val="000000"/>
          <w:sz w:val="20"/>
          <w:szCs w:val="20"/>
        </w:rPr>
        <w:t xml:space="preserve">Regarding the </w:t>
      </w:r>
      <w:r w:rsidRPr="004C37D0">
        <w:rPr>
          <w:color w:val="000000"/>
          <w:sz w:val="20"/>
          <w:szCs w:val="20"/>
        </w:rPr>
        <w:t>options for reducing number of Rx chains for DL non-contiguous CCs</w:t>
      </w:r>
      <w:r>
        <w:rPr>
          <w:color w:val="000000"/>
          <w:sz w:val="20"/>
          <w:szCs w:val="20"/>
        </w:rPr>
        <w:t xml:space="preserve">, we agree with Option 1, </w:t>
      </w:r>
      <w:r w:rsidRPr="004C37D0">
        <w:rPr>
          <w:color w:val="000000"/>
          <w:sz w:val="20"/>
          <w:szCs w:val="20"/>
        </w:rPr>
        <w:t>as the common RF chain (or fully shared RF chain) seems to be the way to reduce the number of RX chains.</w:t>
      </w:r>
      <w:r>
        <w:rPr>
          <w:color w:val="000000"/>
          <w:sz w:val="20"/>
          <w:szCs w:val="20"/>
        </w:rPr>
        <w:t xml:space="preserve"> On O</w:t>
      </w:r>
      <w:r w:rsidRPr="004C37D0">
        <w:rPr>
          <w:color w:val="000000"/>
          <w:sz w:val="20"/>
          <w:szCs w:val="20"/>
        </w:rPr>
        <w:t>ption 2</w:t>
      </w:r>
      <w:r>
        <w:rPr>
          <w:color w:val="000000"/>
          <w:sz w:val="20"/>
          <w:szCs w:val="20"/>
        </w:rPr>
        <w:t xml:space="preserve">, while we understand </w:t>
      </w:r>
      <w:r w:rsidRPr="004C37D0">
        <w:rPr>
          <w:color w:val="000000"/>
          <w:sz w:val="20"/>
          <w:szCs w:val="20"/>
        </w:rPr>
        <w:t>4RX</w:t>
      </w:r>
      <w:r>
        <w:rPr>
          <w:color w:val="000000"/>
          <w:sz w:val="20"/>
          <w:szCs w:val="20"/>
        </w:rPr>
        <w:t xml:space="preserve"> (and support of 4 layer DL MIMO)</w:t>
      </w:r>
      <w:r w:rsidRPr="004C37D0">
        <w:rPr>
          <w:color w:val="000000"/>
          <w:sz w:val="20"/>
          <w:szCs w:val="20"/>
        </w:rPr>
        <w:t xml:space="preserve"> is only mandated for single carrier mode</w:t>
      </w:r>
      <w:r>
        <w:rPr>
          <w:color w:val="000000"/>
          <w:sz w:val="20"/>
          <w:szCs w:val="20"/>
        </w:rPr>
        <w:t xml:space="preserve"> and UE can report how many MIMO layers in CA, </w:t>
      </w:r>
      <w:r w:rsidRPr="004C37D0">
        <w:rPr>
          <w:color w:val="000000"/>
          <w:sz w:val="20"/>
          <w:szCs w:val="20"/>
        </w:rPr>
        <w:t>we do</w:t>
      </w:r>
      <w:r>
        <w:rPr>
          <w:color w:val="000000"/>
          <w:sz w:val="20"/>
          <w:szCs w:val="20"/>
        </w:rPr>
        <w:t xml:space="preserve"> not</w:t>
      </w:r>
      <w:r w:rsidRPr="004C37D0">
        <w:rPr>
          <w:color w:val="000000"/>
          <w:sz w:val="20"/>
          <w:szCs w:val="20"/>
        </w:rPr>
        <w:t xml:space="preserve"> see </w:t>
      </w:r>
      <w:r>
        <w:rPr>
          <w:color w:val="000000"/>
          <w:sz w:val="20"/>
          <w:szCs w:val="20"/>
        </w:rPr>
        <w:t xml:space="preserve">a </w:t>
      </w:r>
      <w:r w:rsidRPr="004C37D0">
        <w:rPr>
          <w:color w:val="000000"/>
          <w:sz w:val="20"/>
          <w:szCs w:val="20"/>
        </w:rPr>
        <w:t xml:space="preserve">strong </w:t>
      </w:r>
      <w:r>
        <w:rPr>
          <w:color w:val="000000"/>
          <w:sz w:val="20"/>
          <w:szCs w:val="20"/>
        </w:rPr>
        <w:t>motivation/</w:t>
      </w:r>
      <w:r w:rsidRPr="004C37D0">
        <w:rPr>
          <w:color w:val="000000"/>
          <w:sz w:val="20"/>
          <w:szCs w:val="20"/>
        </w:rPr>
        <w:t xml:space="preserve">relevance </w:t>
      </w:r>
      <w:r>
        <w:rPr>
          <w:color w:val="000000"/>
          <w:sz w:val="20"/>
          <w:szCs w:val="20"/>
        </w:rPr>
        <w:t>for t</w:t>
      </w:r>
      <w:r w:rsidRPr="004C37D0">
        <w:rPr>
          <w:color w:val="000000"/>
          <w:sz w:val="20"/>
          <w:szCs w:val="20"/>
        </w:rPr>
        <w:t>his relaxation under this SI</w:t>
      </w:r>
      <w:r>
        <w:rPr>
          <w:color w:val="000000"/>
          <w:sz w:val="20"/>
          <w:szCs w:val="20"/>
        </w:rPr>
        <w:t>, which is focused on reducing the number of RF chains to support intra-band non-contiguous CA and hence would spare RF chains.</w:t>
      </w:r>
    </w:p>
    <w:p w14:paraId="2A780772" w14:textId="77777777" w:rsidR="004C37D0" w:rsidRDefault="004C37D0" w:rsidP="004C37D0">
      <w:pPr>
        <w:autoSpaceDE w:val="0"/>
        <w:autoSpaceDN w:val="0"/>
        <w:adjustRightInd w:val="0"/>
        <w:jc w:val="both"/>
        <w:rPr>
          <w:color w:val="000000"/>
          <w:sz w:val="20"/>
          <w:szCs w:val="20"/>
        </w:rPr>
      </w:pPr>
    </w:p>
    <w:p w14:paraId="76D8F9C8" w14:textId="6217BDC7" w:rsidR="004C37D0" w:rsidRDefault="004C37D0" w:rsidP="004C37D0">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004B3F2B" w:rsidRPr="004B3F2B">
        <w:rPr>
          <w:b/>
          <w:bCs/>
          <w:i/>
          <w:iCs/>
          <w:sz w:val="20"/>
          <w:szCs w:val="20"/>
        </w:rPr>
        <w:t xml:space="preserve">Regarding the options for reducing number of Rx chains for DL non-contiguous CCs, </w:t>
      </w:r>
      <w:r>
        <w:rPr>
          <w:b/>
          <w:bCs/>
          <w:i/>
          <w:iCs/>
          <w:sz w:val="20"/>
          <w:szCs w:val="20"/>
        </w:rPr>
        <w:t>Option 1 is agreeable and the intention of Option 2 needs further clarification.</w:t>
      </w:r>
    </w:p>
    <w:p w14:paraId="12D663F0" w14:textId="77777777" w:rsidR="004C37D0" w:rsidRDefault="004C37D0" w:rsidP="004C37D0">
      <w:pPr>
        <w:autoSpaceDE w:val="0"/>
        <w:autoSpaceDN w:val="0"/>
        <w:adjustRightInd w:val="0"/>
        <w:jc w:val="both"/>
        <w:rPr>
          <w:color w:val="000000"/>
          <w:sz w:val="20"/>
          <w:szCs w:val="20"/>
        </w:rPr>
      </w:pPr>
    </w:p>
    <w:p w14:paraId="26C2DD6B" w14:textId="1E043571" w:rsidR="0033718A" w:rsidRPr="004C37D0" w:rsidRDefault="004B3F2B" w:rsidP="0033718A">
      <w:pPr>
        <w:autoSpaceDE w:val="0"/>
        <w:autoSpaceDN w:val="0"/>
        <w:adjustRightInd w:val="0"/>
        <w:jc w:val="both"/>
        <w:rPr>
          <w:color w:val="000000"/>
          <w:sz w:val="20"/>
          <w:szCs w:val="20"/>
        </w:rPr>
      </w:pPr>
      <w:r>
        <w:rPr>
          <w:color w:val="000000"/>
          <w:sz w:val="20"/>
          <w:szCs w:val="20"/>
        </w:rPr>
        <w:t>Regarding</w:t>
      </w:r>
      <w:r w:rsidR="004C37D0" w:rsidRPr="004C37D0">
        <w:rPr>
          <w:color w:val="000000"/>
          <w:sz w:val="20"/>
          <w:szCs w:val="20"/>
        </w:rPr>
        <w:t xml:space="preserve"> BB processing including FFT operation</w:t>
      </w:r>
      <w:r>
        <w:rPr>
          <w:color w:val="000000"/>
          <w:sz w:val="20"/>
          <w:szCs w:val="20"/>
        </w:rPr>
        <w:t>, i</w:t>
      </w:r>
      <w:r w:rsidR="004C37D0" w:rsidRPr="004C37D0">
        <w:rPr>
          <w:color w:val="000000"/>
          <w:sz w:val="20"/>
          <w:szCs w:val="20"/>
        </w:rPr>
        <w:t>n theory either single FFT or common FFT is possible.</w:t>
      </w:r>
      <w:r w:rsidR="0033718A">
        <w:rPr>
          <w:color w:val="000000"/>
          <w:sz w:val="20"/>
          <w:szCs w:val="20"/>
        </w:rPr>
        <w:t xml:space="preserve"> In real implementation, it is common </w:t>
      </w:r>
      <w:r w:rsidR="004C37D0" w:rsidRPr="004C37D0">
        <w:rPr>
          <w:color w:val="000000"/>
          <w:sz w:val="20"/>
          <w:szCs w:val="20"/>
        </w:rPr>
        <w:t xml:space="preserve">to process each CC separately, </w:t>
      </w:r>
      <w:r w:rsidR="0033718A">
        <w:rPr>
          <w:color w:val="000000"/>
          <w:sz w:val="20"/>
          <w:szCs w:val="20"/>
        </w:rPr>
        <w:t xml:space="preserve">including </w:t>
      </w:r>
      <w:r w:rsidR="004C37D0" w:rsidRPr="004C37D0">
        <w:rPr>
          <w:color w:val="000000"/>
          <w:sz w:val="20"/>
          <w:szCs w:val="20"/>
        </w:rPr>
        <w:t>down-sampling, applying filtering, correcting IQ imbalance, etc</w:t>
      </w:r>
      <w:r w:rsidR="0033718A">
        <w:rPr>
          <w:color w:val="000000"/>
          <w:sz w:val="20"/>
          <w:szCs w:val="20"/>
        </w:rPr>
        <w:t>.</w:t>
      </w:r>
      <w:r w:rsidR="004C37D0" w:rsidRPr="004C37D0">
        <w:rPr>
          <w:color w:val="000000"/>
          <w:sz w:val="20"/>
          <w:szCs w:val="20"/>
        </w:rPr>
        <w:t xml:space="preserve"> after ADC.</w:t>
      </w:r>
      <w:r w:rsidR="0033718A">
        <w:rPr>
          <w:color w:val="000000"/>
          <w:sz w:val="20"/>
          <w:szCs w:val="20"/>
        </w:rPr>
        <w:t xml:space="preserve"> </w:t>
      </w:r>
      <w:r w:rsidR="0033718A" w:rsidRPr="004C37D0">
        <w:rPr>
          <w:color w:val="000000"/>
          <w:sz w:val="20"/>
          <w:szCs w:val="20"/>
        </w:rPr>
        <w:t xml:space="preserve">In the case of common RF chain architecture, it is </w:t>
      </w:r>
      <w:r w:rsidR="0033718A">
        <w:rPr>
          <w:color w:val="000000"/>
          <w:sz w:val="20"/>
          <w:szCs w:val="20"/>
        </w:rPr>
        <w:t>critical t</w:t>
      </w:r>
      <w:r w:rsidR="0033718A" w:rsidRPr="004C37D0">
        <w:rPr>
          <w:color w:val="000000"/>
          <w:sz w:val="20"/>
          <w:szCs w:val="20"/>
        </w:rPr>
        <w:t>o rely more on digital filtering/processing to deal with the interference than the case of separate RF chains architecture.</w:t>
      </w:r>
    </w:p>
    <w:p w14:paraId="5A68F784" w14:textId="1CB509FF" w:rsidR="004C37D0" w:rsidRDefault="004C37D0" w:rsidP="004C37D0">
      <w:pPr>
        <w:autoSpaceDE w:val="0"/>
        <w:autoSpaceDN w:val="0"/>
        <w:adjustRightInd w:val="0"/>
        <w:jc w:val="both"/>
        <w:rPr>
          <w:color w:val="000000"/>
          <w:sz w:val="20"/>
          <w:szCs w:val="20"/>
        </w:rPr>
      </w:pPr>
    </w:p>
    <w:p w14:paraId="29BB8159" w14:textId="68B50A2B" w:rsidR="0033718A" w:rsidRDefault="0033718A" w:rsidP="004C37D0">
      <w:pPr>
        <w:autoSpaceDE w:val="0"/>
        <w:autoSpaceDN w:val="0"/>
        <w:adjustRightInd w:val="0"/>
        <w:jc w:val="both"/>
        <w:rPr>
          <w:color w:val="000000"/>
          <w:sz w:val="20"/>
          <w:szCs w:val="20"/>
        </w:rPr>
      </w:pPr>
      <w:r>
        <w:rPr>
          <w:color w:val="000000"/>
          <w:sz w:val="20"/>
          <w:szCs w:val="20"/>
        </w:rPr>
        <w:t>It is worth noting that u</w:t>
      </w:r>
      <w:r w:rsidRPr="004C37D0">
        <w:rPr>
          <w:color w:val="000000"/>
          <w:sz w:val="20"/>
          <w:szCs w:val="20"/>
        </w:rPr>
        <w:t>sing single FFT may not be an option for some FDD band, say band 7</w:t>
      </w:r>
      <w:r>
        <w:rPr>
          <w:color w:val="000000"/>
          <w:sz w:val="20"/>
          <w:szCs w:val="20"/>
        </w:rPr>
        <w:t>,</w:t>
      </w:r>
      <w:r w:rsidRPr="004C37D0">
        <w:rPr>
          <w:color w:val="000000"/>
          <w:sz w:val="20"/>
          <w:szCs w:val="20"/>
        </w:rPr>
        <w:t xml:space="preserve"> since </w:t>
      </w:r>
      <w:r w:rsidR="00437ACE">
        <w:rPr>
          <w:color w:val="000000"/>
          <w:sz w:val="20"/>
          <w:szCs w:val="20"/>
        </w:rPr>
        <w:t>&gt; 6</w:t>
      </w:r>
      <w:r>
        <w:rPr>
          <w:color w:val="000000"/>
          <w:sz w:val="20"/>
          <w:szCs w:val="20"/>
        </w:rPr>
        <w:t xml:space="preserve">0MHz channel cannot be supported with </w:t>
      </w:r>
      <w:r w:rsidRPr="004C37D0">
        <w:rPr>
          <w:color w:val="000000"/>
          <w:sz w:val="20"/>
          <w:szCs w:val="20"/>
        </w:rPr>
        <w:t>15kHz SCS</w:t>
      </w:r>
      <w:r>
        <w:rPr>
          <w:color w:val="000000"/>
          <w:sz w:val="20"/>
          <w:szCs w:val="20"/>
        </w:rPr>
        <w:t>.</w:t>
      </w:r>
    </w:p>
    <w:p w14:paraId="13FD7118" w14:textId="77777777" w:rsidR="0033718A" w:rsidRDefault="0033718A" w:rsidP="004C37D0">
      <w:pPr>
        <w:autoSpaceDE w:val="0"/>
        <w:autoSpaceDN w:val="0"/>
        <w:adjustRightInd w:val="0"/>
        <w:jc w:val="both"/>
        <w:rPr>
          <w:color w:val="000000"/>
          <w:sz w:val="20"/>
          <w:szCs w:val="20"/>
        </w:rPr>
      </w:pPr>
    </w:p>
    <w:p w14:paraId="7009F406" w14:textId="39F13B01" w:rsidR="004C37D0" w:rsidRPr="0033718A" w:rsidRDefault="004C37D0" w:rsidP="0033718A">
      <w:pPr>
        <w:spacing w:before="100" w:beforeAutospacing="1" w:after="100"/>
        <w:rPr>
          <w:b/>
          <w:bCs/>
          <w:i/>
          <w:iCs/>
          <w:sz w:val="20"/>
          <w:szCs w:val="20"/>
        </w:rPr>
      </w:pPr>
      <w:r w:rsidRPr="0033718A">
        <w:rPr>
          <w:b/>
          <w:bCs/>
          <w:i/>
          <w:iCs/>
          <w:sz w:val="20"/>
          <w:szCs w:val="20"/>
        </w:rPr>
        <w:t>Proposal</w:t>
      </w:r>
      <w:r w:rsidR="0033718A">
        <w:rPr>
          <w:b/>
          <w:bCs/>
          <w:i/>
          <w:iCs/>
          <w:sz w:val="20"/>
          <w:szCs w:val="20"/>
        </w:rPr>
        <w:t xml:space="preserve"> 3</w:t>
      </w:r>
      <w:r w:rsidRPr="0033718A">
        <w:rPr>
          <w:b/>
          <w:bCs/>
          <w:i/>
          <w:iCs/>
          <w:sz w:val="20"/>
          <w:szCs w:val="20"/>
        </w:rPr>
        <w:t>: It is proposed to leave it to implementation whether a single FFT is expected to cover the fragmented carriers or separate FFTs are expected for each fragmented carrier.</w:t>
      </w:r>
    </w:p>
    <w:p w14:paraId="5B43AEBA" w14:textId="77777777" w:rsidR="004C37D0" w:rsidRDefault="004C37D0" w:rsidP="0033718A">
      <w:pPr>
        <w:spacing w:before="100" w:beforeAutospacing="1" w:after="100"/>
        <w:rPr>
          <w:b/>
          <w:bCs/>
          <w:i/>
          <w:iCs/>
          <w:sz w:val="20"/>
          <w:szCs w:val="20"/>
        </w:rPr>
      </w:pPr>
    </w:p>
    <w:p w14:paraId="00319260" w14:textId="1FE5B912" w:rsidR="00183B27" w:rsidRDefault="00183B27" w:rsidP="00183B27">
      <w:pPr>
        <w:autoSpaceDE w:val="0"/>
        <w:autoSpaceDN w:val="0"/>
        <w:adjustRightInd w:val="0"/>
        <w:jc w:val="both"/>
        <w:rPr>
          <w:b/>
          <w:bCs/>
          <w:color w:val="000000"/>
          <w:sz w:val="20"/>
          <w:szCs w:val="20"/>
          <w:u w:val="single"/>
        </w:rPr>
      </w:pPr>
      <w:r>
        <w:rPr>
          <w:b/>
          <w:bCs/>
          <w:color w:val="000000"/>
          <w:sz w:val="20"/>
          <w:szCs w:val="20"/>
          <w:u w:val="single"/>
        </w:rPr>
        <w:t>P</w:t>
      </w:r>
      <w:r w:rsidRPr="00183B27">
        <w:rPr>
          <w:b/>
          <w:bCs/>
          <w:color w:val="000000"/>
          <w:sz w:val="20"/>
          <w:szCs w:val="20"/>
          <w:u w:val="single"/>
        </w:rPr>
        <w:t>ower spectral density difference between carriers of co-located adjacent channel operators</w:t>
      </w:r>
    </w:p>
    <w:p w14:paraId="43C57C4E" w14:textId="77777777" w:rsidR="00183B27" w:rsidRDefault="00183B27" w:rsidP="00183B27">
      <w:pPr>
        <w:autoSpaceDE w:val="0"/>
        <w:autoSpaceDN w:val="0"/>
        <w:adjustRightInd w:val="0"/>
        <w:jc w:val="both"/>
        <w:rPr>
          <w:color w:val="000000"/>
          <w:sz w:val="20"/>
          <w:szCs w:val="20"/>
        </w:rPr>
      </w:pPr>
    </w:p>
    <w:p w14:paraId="08C91DE2" w14:textId="66E5B65D" w:rsidR="00183B27" w:rsidRDefault="00183B27" w:rsidP="00183B27">
      <w:pPr>
        <w:autoSpaceDE w:val="0"/>
        <w:autoSpaceDN w:val="0"/>
        <w:adjustRightInd w:val="0"/>
        <w:jc w:val="both"/>
        <w:rPr>
          <w:color w:val="000000"/>
          <w:sz w:val="20"/>
          <w:szCs w:val="20"/>
        </w:rPr>
      </w:pPr>
      <w:r>
        <w:rPr>
          <w:color w:val="000000"/>
          <w:sz w:val="20"/>
          <w:szCs w:val="20"/>
        </w:rPr>
        <w:t xml:space="preserve">The discussion on </w:t>
      </w:r>
      <w:r w:rsidR="00EF7406">
        <w:rPr>
          <w:color w:val="000000"/>
          <w:sz w:val="20"/>
          <w:szCs w:val="20"/>
        </w:rPr>
        <w:t>PSD</w:t>
      </w:r>
      <w:r w:rsidR="000C5A3A">
        <w:rPr>
          <w:color w:val="000000"/>
          <w:sz w:val="20"/>
          <w:szCs w:val="20"/>
        </w:rPr>
        <w:t xml:space="preserve"> difference</w:t>
      </w:r>
      <w:r>
        <w:rPr>
          <w:color w:val="000000"/>
          <w:sz w:val="20"/>
          <w:szCs w:val="20"/>
        </w:rPr>
        <w:t xml:space="preserve"> is captured in the WF as shown below </w:t>
      </w:r>
    </w:p>
    <w:tbl>
      <w:tblPr>
        <w:tblStyle w:val="TableGrid"/>
        <w:tblW w:w="0" w:type="auto"/>
        <w:tblLook w:val="04A0" w:firstRow="1" w:lastRow="0" w:firstColumn="1" w:lastColumn="0" w:noHBand="0" w:noVBand="1"/>
      </w:tblPr>
      <w:tblGrid>
        <w:gridCol w:w="9631"/>
      </w:tblGrid>
      <w:tr w:rsidR="00183B27" w14:paraId="0183FF2B" w14:textId="77777777" w:rsidTr="00352CF4">
        <w:tc>
          <w:tcPr>
            <w:tcW w:w="9631" w:type="dxa"/>
          </w:tcPr>
          <w:p w14:paraId="6DBBBA12" w14:textId="77777777" w:rsidR="00183B27" w:rsidRPr="00183B27" w:rsidRDefault="00183B27" w:rsidP="00183B27">
            <w:pPr>
              <w:pStyle w:val="Heading4"/>
              <w:spacing w:after="60" w:line="240" w:lineRule="atLeast"/>
              <w:rPr>
                <w:rFonts w:ascii="Times New Roman" w:hAnsi="Times New Roman"/>
                <w:b/>
                <w:color w:val="0070C0"/>
                <w:sz w:val="20"/>
                <w:u w:val="single"/>
                <w:lang w:eastAsia="ko-KR"/>
              </w:rPr>
            </w:pPr>
            <w:r w:rsidRPr="00183B27">
              <w:rPr>
                <w:rFonts w:ascii="Times New Roman" w:hAnsi="Times New Roman"/>
                <w:b/>
                <w:color w:val="0070C0"/>
                <w:sz w:val="20"/>
                <w:u w:val="single"/>
                <w:lang w:eastAsia="ko-KR"/>
              </w:rPr>
              <w:lastRenderedPageBreak/>
              <w:t>Issue 2-1-4: Study on power spectral density difference between carriers of co-located adjacent channel operators</w:t>
            </w:r>
          </w:p>
          <w:p w14:paraId="55DE46C3" w14:textId="77777777" w:rsidR="00183B27" w:rsidRPr="00183B27" w:rsidRDefault="00183B27" w:rsidP="00183B27">
            <w:pPr>
              <w:spacing w:after="120"/>
              <w:rPr>
                <w:rFonts w:eastAsia="SimSun"/>
                <w:color w:val="0070C0"/>
                <w:sz w:val="20"/>
                <w:szCs w:val="20"/>
              </w:rPr>
            </w:pPr>
            <w:r w:rsidRPr="00183B27">
              <w:rPr>
                <w:rFonts w:eastAsia="SimSun"/>
                <w:color w:val="0070C0"/>
                <w:sz w:val="20"/>
                <w:szCs w:val="20"/>
              </w:rPr>
              <w:t>Recommended WF</w:t>
            </w:r>
          </w:p>
          <w:p w14:paraId="4B4D9B34" w14:textId="77777777" w:rsidR="00183B27" w:rsidRPr="00183B27" w:rsidRDefault="00183B27" w:rsidP="00183B27">
            <w:pPr>
              <w:pStyle w:val="ListParagraph"/>
              <w:numPr>
                <w:ilvl w:val="0"/>
                <w:numId w:val="37"/>
              </w:numPr>
              <w:autoSpaceDN w:val="0"/>
              <w:spacing w:after="120"/>
              <w:ind w:left="720"/>
              <w:contextualSpacing w:val="0"/>
              <w:rPr>
                <w:rFonts w:eastAsia="SimSun"/>
                <w:color w:val="0070C0"/>
                <w:sz w:val="20"/>
                <w:szCs w:val="20"/>
              </w:rPr>
            </w:pPr>
            <w:r w:rsidRPr="00183B27">
              <w:rPr>
                <w:rFonts w:eastAsia="SimSun"/>
                <w:color w:val="0070C0"/>
                <w:sz w:val="20"/>
                <w:szCs w:val="20"/>
              </w:rPr>
              <w:t>FFS on following options in next meeting</w:t>
            </w:r>
          </w:p>
          <w:p w14:paraId="7B47F719" w14:textId="77777777" w:rsidR="00183B27" w:rsidRPr="00183B27" w:rsidRDefault="00183B27" w:rsidP="00183B27">
            <w:pPr>
              <w:pStyle w:val="ListParagraph"/>
              <w:numPr>
                <w:ilvl w:val="1"/>
                <w:numId w:val="37"/>
              </w:numPr>
              <w:autoSpaceDN w:val="0"/>
              <w:spacing w:after="120"/>
              <w:ind w:left="1776"/>
              <w:contextualSpacing w:val="0"/>
              <w:rPr>
                <w:rFonts w:eastAsia="SimSun"/>
                <w:color w:val="0070C0"/>
                <w:sz w:val="20"/>
                <w:szCs w:val="20"/>
              </w:rPr>
            </w:pPr>
            <w:r w:rsidRPr="00183B27">
              <w:rPr>
                <w:rFonts w:eastAsia="SimSun"/>
                <w:color w:val="0070C0"/>
                <w:sz w:val="20"/>
                <w:szCs w:val="20"/>
              </w:rPr>
              <w:t>Option 1: Prioritize the “co-location” deployment (meaning only location is shared, but not infrastructure)</w:t>
            </w:r>
          </w:p>
          <w:p w14:paraId="12DF78CA" w14:textId="77777777" w:rsidR="00183B27" w:rsidRPr="00183B27" w:rsidRDefault="00183B27" w:rsidP="00183B27">
            <w:pPr>
              <w:pStyle w:val="ListParagraph"/>
              <w:numPr>
                <w:ilvl w:val="3"/>
                <w:numId w:val="39"/>
              </w:numPr>
              <w:autoSpaceDN w:val="0"/>
              <w:spacing w:after="120"/>
              <w:contextualSpacing w:val="0"/>
              <w:rPr>
                <w:rFonts w:eastAsia="SimSun"/>
                <w:color w:val="0070C0"/>
                <w:sz w:val="20"/>
                <w:szCs w:val="20"/>
              </w:rPr>
            </w:pPr>
            <w:r w:rsidRPr="00183B27">
              <w:rPr>
                <w:rFonts w:eastAsia="SimSun"/>
                <w:color w:val="0070C0"/>
                <w:sz w:val="20"/>
                <w:szCs w:val="20"/>
              </w:rPr>
              <w:t xml:space="preserve">For evaluation purpose and for simplicity, assume the two </w:t>
            </w:r>
            <w:proofErr w:type="spellStart"/>
            <w:r w:rsidRPr="00183B27">
              <w:rPr>
                <w:rFonts w:eastAsia="SimSun"/>
                <w:color w:val="0070C0"/>
                <w:sz w:val="20"/>
                <w:szCs w:val="20"/>
              </w:rPr>
              <w:t>gNBs</w:t>
            </w:r>
            <w:proofErr w:type="spellEnd"/>
            <w:r w:rsidRPr="00183B27">
              <w:rPr>
                <w:rFonts w:eastAsia="SimSun"/>
                <w:color w:val="0070C0"/>
                <w:sz w:val="20"/>
                <w:szCs w:val="20"/>
              </w:rPr>
              <w:t xml:space="preserve"> of two co-location operators are both transmitting at maximal allowed power level</w:t>
            </w:r>
          </w:p>
          <w:p w14:paraId="222996DB" w14:textId="77777777" w:rsidR="00183B27" w:rsidRPr="00183B27" w:rsidRDefault="00183B27" w:rsidP="00183B27">
            <w:pPr>
              <w:pStyle w:val="ListParagraph"/>
              <w:numPr>
                <w:ilvl w:val="3"/>
                <w:numId w:val="39"/>
              </w:numPr>
              <w:autoSpaceDN w:val="0"/>
              <w:spacing w:after="120"/>
              <w:contextualSpacing w:val="0"/>
              <w:rPr>
                <w:rFonts w:eastAsia="SimSun"/>
                <w:color w:val="0070C0"/>
                <w:sz w:val="20"/>
                <w:szCs w:val="20"/>
              </w:rPr>
            </w:pPr>
            <w:r w:rsidRPr="00183B27">
              <w:rPr>
                <w:rFonts w:eastAsia="SimSun"/>
                <w:color w:val="0070C0"/>
                <w:sz w:val="20"/>
                <w:szCs w:val="20"/>
              </w:rPr>
              <w:t xml:space="preserve">equal PSD between two co-location operators could be assumed from </w:t>
            </w:r>
            <w:proofErr w:type="spellStart"/>
            <w:r w:rsidRPr="00183B27">
              <w:rPr>
                <w:rFonts w:eastAsia="SimSun"/>
                <w:color w:val="0070C0"/>
                <w:sz w:val="20"/>
                <w:szCs w:val="20"/>
              </w:rPr>
              <w:t>gNB</w:t>
            </w:r>
            <w:proofErr w:type="spellEnd"/>
            <w:r w:rsidRPr="00183B27">
              <w:rPr>
                <w:rFonts w:eastAsia="SimSun"/>
                <w:color w:val="0070C0"/>
                <w:sz w:val="20"/>
                <w:szCs w:val="20"/>
              </w:rPr>
              <w:t xml:space="preserve"> </w:t>
            </w:r>
            <w:proofErr w:type="spellStart"/>
            <w:r w:rsidRPr="00183B27">
              <w:rPr>
                <w:rFonts w:eastAsia="SimSun"/>
                <w:color w:val="0070C0"/>
                <w:sz w:val="20"/>
                <w:szCs w:val="20"/>
              </w:rPr>
              <w:t>transmisstion</w:t>
            </w:r>
            <w:proofErr w:type="spellEnd"/>
            <w:r w:rsidRPr="00183B27">
              <w:rPr>
                <w:rFonts w:eastAsia="SimSun"/>
                <w:color w:val="0070C0"/>
                <w:sz w:val="20"/>
                <w:szCs w:val="20"/>
              </w:rPr>
              <w:t xml:space="preserve"> point of view for evaluation purpose, as the starting point</w:t>
            </w:r>
          </w:p>
          <w:p w14:paraId="308D0F40" w14:textId="77777777" w:rsidR="00183B27" w:rsidRPr="00183B27" w:rsidRDefault="00183B27" w:rsidP="00183B27">
            <w:pPr>
              <w:pStyle w:val="ListParagraph"/>
              <w:numPr>
                <w:ilvl w:val="3"/>
                <w:numId w:val="39"/>
              </w:numPr>
              <w:autoSpaceDN w:val="0"/>
              <w:spacing w:after="120"/>
              <w:contextualSpacing w:val="0"/>
              <w:rPr>
                <w:rFonts w:eastAsia="SimSun"/>
                <w:color w:val="0070C0"/>
                <w:sz w:val="20"/>
                <w:szCs w:val="20"/>
              </w:rPr>
            </w:pPr>
            <w:r w:rsidRPr="00183B27">
              <w:rPr>
                <w:rFonts w:eastAsia="SimSun"/>
                <w:color w:val="0070C0"/>
                <w:sz w:val="20"/>
                <w:szCs w:val="20"/>
              </w:rPr>
              <w:t xml:space="preserve">The PSD difference from UE reception point of view could vary as per the different antenna type, antenna pointing direction, </w:t>
            </w:r>
            <w:proofErr w:type="spellStart"/>
            <w:r w:rsidRPr="00183B27">
              <w:rPr>
                <w:rFonts w:eastAsia="SimSun"/>
                <w:color w:val="0070C0"/>
                <w:sz w:val="20"/>
                <w:szCs w:val="20"/>
              </w:rPr>
              <w:t>etc</w:t>
            </w:r>
            <w:proofErr w:type="spellEnd"/>
            <w:r w:rsidRPr="00183B27">
              <w:rPr>
                <w:rFonts w:eastAsia="SimSun"/>
                <w:color w:val="0070C0"/>
                <w:sz w:val="20"/>
                <w:szCs w:val="20"/>
              </w:rPr>
              <w:t xml:space="preserve"> between operators</w:t>
            </w:r>
          </w:p>
          <w:p w14:paraId="2E8ECCDD" w14:textId="77777777" w:rsidR="00183B27" w:rsidRPr="00183B27" w:rsidRDefault="00183B27" w:rsidP="00183B27">
            <w:pPr>
              <w:pStyle w:val="ListParagraph"/>
              <w:numPr>
                <w:ilvl w:val="1"/>
                <w:numId w:val="37"/>
              </w:numPr>
              <w:autoSpaceDN w:val="0"/>
              <w:spacing w:after="120"/>
              <w:ind w:left="1776"/>
              <w:contextualSpacing w:val="0"/>
              <w:rPr>
                <w:rFonts w:eastAsia="SimSun"/>
                <w:color w:val="0070C0"/>
                <w:sz w:val="20"/>
                <w:szCs w:val="20"/>
              </w:rPr>
            </w:pPr>
            <w:r w:rsidRPr="00183B27">
              <w:rPr>
                <w:rFonts w:eastAsia="SimSun"/>
                <w:color w:val="0070C0"/>
                <w:sz w:val="20"/>
                <w:szCs w:val="20"/>
              </w:rPr>
              <w:t>Option 2: For inter-operator deployment scenario, both shared RRU case and separate RRU case are considered</w:t>
            </w:r>
          </w:p>
          <w:p w14:paraId="3B81E6E7" w14:textId="2BF44627" w:rsidR="00183B27" w:rsidRPr="00EF7406" w:rsidRDefault="00183B27" w:rsidP="00EF7406">
            <w:pPr>
              <w:pStyle w:val="ListParagraph"/>
              <w:numPr>
                <w:ilvl w:val="1"/>
                <w:numId w:val="37"/>
              </w:numPr>
              <w:autoSpaceDN w:val="0"/>
              <w:spacing w:after="120"/>
              <w:ind w:left="1776"/>
              <w:contextualSpacing w:val="0"/>
              <w:rPr>
                <w:rFonts w:eastAsia="SimSun"/>
                <w:color w:val="0070C0"/>
                <w:sz w:val="20"/>
                <w:szCs w:val="20"/>
              </w:rPr>
            </w:pPr>
            <w:r w:rsidRPr="00183B27">
              <w:rPr>
                <w:rFonts w:eastAsiaTheme="minorEastAsia"/>
                <w:color w:val="0070C0"/>
                <w:sz w:val="20"/>
                <w:szCs w:val="20"/>
              </w:rPr>
              <w:t>Other options are not precluded</w:t>
            </w:r>
          </w:p>
        </w:tc>
      </w:tr>
    </w:tbl>
    <w:p w14:paraId="3FE0C088" w14:textId="77777777" w:rsidR="00183B27" w:rsidRDefault="00183B27" w:rsidP="00183B27">
      <w:pPr>
        <w:autoSpaceDE w:val="0"/>
        <w:autoSpaceDN w:val="0"/>
        <w:adjustRightInd w:val="0"/>
        <w:jc w:val="both"/>
        <w:rPr>
          <w:b/>
          <w:bCs/>
          <w:color w:val="000000"/>
          <w:sz w:val="20"/>
          <w:szCs w:val="20"/>
          <w:u w:val="single"/>
        </w:rPr>
      </w:pPr>
    </w:p>
    <w:p w14:paraId="11A10129" w14:textId="4CE4A5F9" w:rsidR="00325D83" w:rsidRPr="00325D83" w:rsidRDefault="00325D83" w:rsidP="00325D83">
      <w:pPr>
        <w:spacing w:before="100" w:beforeAutospacing="1" w:after="100"/>
        <w:rPr>
          <w:color w:val="000000"/>
          <w:sz w:val="20"/>
          <w:szCs w:val="20"/>
        </w:rPr>
      </w:pPr>
      <w:r w:rsidRPr="00325D83">
        <w:rPr>
          <w:color w:val="000000"/>
          <w:sz w:val="20"/>
          <w:szCs w:val="20"/>
        </w:rPr>
        <w:t>It is true that for co-located deployment, if BS antenna</w:t>
      </w:r>
      <w:r>
        <w:rPr>
          <w:color w:val="000000"/>
          <w:sz w:val="20"/>
          <w:szCs w:val="20"/>
        </w:rPr>
        <w:t>s from different operators</w:t>
      </w:r>
      <w:r w:rsidRPr="00325D83">
        <w:rPr>
          <w:color w:val="000000"/>
          <w:sz w:val="20"/>
          <w:szCs w:val="20"/>
        </w:rPr>
        <w:t xml:space="preserve"> points to different direction, there could be significant gain difference. </w:t>
      </w:r>
      <w:r>
        <w:rPr>
          <w:color w:val="000000"/>
          <w:sz w:val="20"/>
          <w:szCs w:val="20"/>
        </w:rPr>
        <w:t xml:space="preserve">In addition, different operators may apply different </w:t>
      </w:r>
      <w:r w:rsidRPr="00325D83">
        <w:rPr>
          <w:color w:val="000000"/>
          <w:sz w:val="20"/>
          <w:szCs w:val="20"/>
        </w:rPr>
        <w:t>TX power</w:t>
      </w:r>
      <w:r>
        <w:rPr>
          <w:color w:val="000000"/>
          <w:sz w:val="20"/>
          <w:szCs w:val="20"/>
        </w:rPr>
        <w:t xml:space="preserve">. </w:t>
      </w:r>
      <w:r w:rsidR="00030FA1">
        <w:rPr>
          <w:color w:val="000000"/>
          <w:sz w:val="20"/>
          <w:szCs w:val="20"/>
        </w:rPr>
        <w:t xml:space="preserve">On the other hand, the RAN4 conventional assumption for co-located deployment is 6dB PSD difference for intra-band CA, based on which UE is designed and implemented. Therefore, it is reasonable to reuse the 6dB assumption. </w:t>
      </w:r>
    </w:p>
    <w:p w14:paraId="006FC358" w14:textId="003F08D8" w:rsidR="00325D83" w:rsidRPr="00030FA1" w:rsidRDefault="00325D83" w:rsidP="00325D83">
      <w:pPr>
        <w:spacing w:before="100" w:beforeAutospacing="1" w:after="100"/>
        <w:rPr>
          <w:b/>
          <w:bCs/>
          <w:i/>
          <w:iCs/>
          <w:sz w:val="20"/>
          <w:szCs w:val="20"/>
        </w:rPr>
      </w:pPr>
      <w:r w:rsidRPr="00030FA1">
        <w:rPr>
          <w:b/>
          <w:bCs/>
          <w:i/>
          <w:iCs/>
          <w:sz w:val="20"/>
          <w:szCs w:val="20"/>
        </w:rPr>
        <w:t>Proposal</w:t>
      </w:r>
      <w:r w:rsidR="00030FA1">
        <w:rPr>
          <w:b/>
          <w:bCs/>
          <w:i/>
          <w:iCs/>
          <w:sz w:val="20"/>
          <w:szCs w:val="20"/>
        </w:rPr>
        <w:t xml:space="preserve"> 4</w:t>
      </w:r>
      <w:r w:rsidRPr="00030FA1">
        <w:rPr>
          <w:b/>
          <w:bCs/>
          <w:i/>
          <w:iCs/>
          <w:sz w:val="20"/>
          <w:szCs w:val="20"/>
        </w:rPr>
        <w:t>: From UE perspective, to enable the use of common RF chain</w:t>
      </w:r>
      <w:r w:rsidR="00030FA1">
        <w:rPr>
          <w:b/>
          <w:bCs/>
          <w:i/>
          <w:iCs/>
          <w:sz w:val="20"/>
          <w:szCs w:val="20"/>
        </w:rPr>
        <w:t xml:space="preserve">, </w:t>
      </w:r>
      <w:r w:rsidRPr="00030FA1">
        <w:rPr>
          <w:b/>
          <w:bCs/>
          <w:i/>
          <w:iCs/>
          <w:sz w:val="20"/>
          <w:szCs w:val="20"/>
        </w:rPr>
        <w:t xml:space="preserve">it is proposed to </w:t>
      </w:r>
      <w:r w:rsidR="00030FA1">
        <w:rPr>
          <w:b/>
          <w:bCs/>
          <w:i/>
          <w:iCs/>
          <w:sz w:val="20"/>
          <w:szCs w:val="20"/>
        </w:rPr>
        <w:t xml:space="preserve">reuse the 6dB PSD difference </w:t>
      </w:r>
      <w:r w:rsidR="00030FA1" w:rsidRPr="00030FA1">
        <w:rPr>
          <w:b/>
          <w:bCs/>
          <w:i/>
          <w:iCs/>
          <w:sz w:val="20"/>
          <w:szCs w:val="20"/>
        </w:rPr>
        <w:t>between carriers of co-located adjacent channel operators</w:t>
      </w:r>
      <w:r w:rsidR="00030FA1">
        <w:rPr>
          <w:b/>
          <w:bCs/>
          <w:i/>
          <w:iCs/>
          <w:sz w:val="20"/>
          <w:szCs w:val="20"/>
        </w:rPr>
        <w:t>.</w:t>
      </w:r>
    </w:p>
    <w:p w14:paraId="0C237934" w14:textId="77777777" w:rsidR="004C1771" w:rsidRDefault="004C1771" w:rsidP="00431952">
      <w:pPr>
        <w:autoSpaceDE w:val="0"/>
        <w:autoSpaceDN w:val="0"/>
        <w:adjustRightInd w:val="0"/>
        <w:jc w:val="both"/>
        <w:rPr>
          <w:b/>
          <w:bCs/>
          <w:color w:val="000000"/>
          <w:sz w:val="20"/>
          <w:szCs w:val="20"/>
          <w:u w:val="single"/>
        </w:rPr>
      </w:pPr>
    </w:p>
    <w:p w14:paraId="15DF7188" w14:textId="0E090C24" w:rsidR="00431952" w:rsidRPr="006A1291" w:rsidRDefault="0038279A" w:rsidP="00431952">
      <w:pPr>
        <w:autoSpaceDE w:val="0"/>
        <w:autoSpaceDN w:val="0"/>
        <w:adjustRightInd w:val="0"/>
        <w:jc w:val="both"/>
        <w:rPr>
          <w:b/>
          <w:bCs/>
          <w:color w:val="000000"/>
          <w:sz w:val="20"/>
          <w:szCs w:val="20"/>
          <w:u w:val="single"/>
        </w:rPr>
      </w:pPr>
      <w:r>
        <w:rPr>
          <w:b/>
          <w:bCs/>
          <w:color w:val="000000"/>
          <w:sz w:val="20"/>
          <w:szCs w:val="20"/>
          <w:u w:val="single"/>
        </w:rPr>
        <w:t>Prerequisite</w:t>
      </w:r>
      <w:r w:rsidR="00431952">
        <w:rPr>
          <w:b/>
          <w:bCs/>
          <w:color w:val="000000"/>
          <w:sz w:val="20"/>
          <w:szCs w:val="20"/>
          <w:u w:val="single"/>
        </w:rPr>
        <w:t xml:space="preserve"> conditions</w:t>
      </w:r>
    </w:p>
    <w:p w14:paraId="33210C3E" w14:textId="77777777" w:rsidR="00431952" w:rsidRPr="00F04A63" w:rsidRDefault="00431952" w:rsidP="00B10171">
      <w:pPr>
        <w:autoSpaceDE w:val="0"/>
        <w:autoSpaceDN w:val="0"/>
        <w:adjustRightInd w:val="0"/>
        <w:jc w:val="both"/>
        <w:rPr>
          <w:b/>
          <w:bCs/>
          <w:color w:val="000000"/>
          <w:sz w:val="20"/>
          <w:szCs w:val="20"/>
        </w:rPr>
      </w:pPr>
    </w:p>
    <w:p w14:paraId="1908C82F" w14:textId="4825F1D0" w:rsidR="00015EBF" w:rsidRDefault="00EF7406" w:rsidP="00015EBF">
      <w:pPr>
        <w:autoSpaceDE w:val="0"/>
        <w:autoSpaceDN w:val="0"/>
        <w:adjustRightInd w:val="0"/>
        <w:jc w:val="both"/>
        <w:rPr>
          <w:b/>
          <w:bCs/>
          <w:i/>
          <w:iCs/>
          <w:sz w:val="20"/>
          <w:szCs w:val="20"/>
        </w:rPr>
      </w:pPr>
      <w:r>
        <w:rPr>
          <w:color w:val="000000"/>
          <w:sz w:val="20"/>
          <w:szCs w:val="20"/>
        </w:rPr>
        <w:t>T</w:t>
      </w:r>
      <w:r w:rsidR="002B7293">
        <w:rPr>
          <w:color w:val="000000"/>
          <w:sz w:val="20"/>
          <w:szCs w:val="20"/>
        </w:rPr>
        <w:t>o allow the UE to support the two non-</w:t>
      </w:r>
      <w:r w:rsidR="0038279A">
        <w:rPr>
          <w:color w:val="000000"/>
          <w:sz w:val="20"/>
          <w:szCs w:val="20"/>
        </w:rPr>
        <w:t>contiguous</w:t>
      </w:r>
      <w:r w:rsidR="002B7293">
        <w:rPr>
          <w:color w:val="000000"/>
          <w:sz w:val="20"/>
          <w:szCs w:val="20"/>
        </w:rPr>
        <w:t xml:space="preserve"> CCs with common/shared RF chains instead of separate RF chains, as analyzed in our companion contribution [</w:t>
      </w:r>
      <w:r>
        <w:rPr>
          <w:color w:val="000000"/>
          <w:sz w:val="20"/>
          <w:szCs w:val="20"/>
        </w:rPr>
        <w:t>3</w:t>
      </w:r>
      <w:r w:rsidR="002B7293">
        <w:rPr>
          <w:color w:val="000000"/>
          <w:sz w:val="20"/>
          <w:szCs w:val="20"/>
        </w:rPr>
        <w:t xml:space="preserve">], </w:t>
      </w:r>
      <w:r w:rsidR="005B65BA">
        <w:rPr>
          <w:color w:val="000000"/>
          <w:sz w:val="20"/>
          <w:szCs w:val="20"/>
        </w:rPr>
        <w:t xml:space="preserve">the blocker power level in the gap needs to be manageable to the UE. In other words, the blocker power level needs to be at an appropriate level that the UE can handle with common RF chain. </w:t>
      </w:r>
      <w:r w:rsidR="00495DAE">
        <w:rPr>
          <w:color w:val="000000"/>
          <w:sz w:val="20"/>
          <w:szCs w:val="20"/>
        </w:rPr>
        <w:t>It</w:t>
      </w:r>
      <w:r w:rsidR="00015EBF">
        <w:rPr>
          <w:color w:val="000000"/>
          <w:sz w:val="20"/>
          <w:szCs w:val="20"/>
        </w:rPr>
        <w:t xml:space="preserve"> can either be a specified value in the spec or based on UE capability reporting.</w:t>
      </w:r>
      <w:r w:rsidR="00495DAE">
        <w:rPr>
          <w:color w:val="000000"/>
          <w:sz w:val="20"/>
          <w:szCs w:val="20"/>
        </w:rPr>
        <w:t xml:space="preserve"> The Rx chain configuration/reconfiguration </w:t>
      </w:r>
      <w:r w:rsidR="00184CFD">
        <w:rPr>
          <w:color w:val="000000"/>
          <w:sz w:val="20"/>
          <w:szCs w:val="20"/>
        </w:rPr>
        <w:t>may</w:t>
      </w:r>
      <w:r w:rsidR="00495DAE">
        <w:rPr>
          <w:color w:val="000000"/>
          <w:sz w:val="20"/>
          <w:szCs w:val="20"/>
        </w:rPr>
        <w:t xml:space="preserve"> be based on some assistant information by UE measurement of the blocker.</w:t>
      </w:r>
    </w:p>
    <w:p w14:paraId="439A2262" w14:textId="00F45F23" w:rsidR="00AE03D3" w:rsidRDefault="00AE03D3" w:rsidP="005B65BA">
      <w:pPr>
        <w:autoSpaceDE w:val="0"/>
        <w:autoSpaceDN w:val="0"/>
        <w:adjustRightInd w:val="0"/>
        <w:jc w:val="both"/>
        <w:rPr>
          <w:b/>
          <w:bCs/>
          <w:i/>
          <w:iCs/>
          <w:sz w:val="20"/>
          <w:szCs w:val="20"/>
        </w:rPr>
      </w:pPr>
    </w:p>
    <w:p w14:paraId="11ACE06E" w14:textId="07C6EE82" w:rsidR="00771937" w:rsidRDefault="00771937" w:rsidP="00771937">
      <w:pPr>
        <w:spacing w:before="100" w:beforeAutospacing="1" w:after="100"/>
        <w:rPr>
          <w:b/>
          <w:bCs/>
          <w:i/>
          <w:iCs/>
          <w:sz w:val="20"/>
          <w:szCs w:val="20"/>
        </w:rPr>
      </w:pPr>
      <w:r w:rsidRPr="004E0E90">
        <w:rPr>
          <w:b/>
          <w:bCs/>
          <w:i/>
          <w:iCs/>
          <w:sz w:val="20"/>
          <w:szCs w:val="20"/>
        </w:rPr>
        <w:t xml:space="preserve">Proposal </w:t>
      </w:r>
      <w:r w:rsidR="00EF7406">
        <w:rPr>
          <w:b/>
          <w:bCs/>
          <w:i/>
          <w:iCs/>
          <w:sz w:val="20"/>
          <w:szCs w:val="20"/>
        </w:rPr>
        <w:t>5</w:t>
      </w:r>
      <w:r w:rsidRPr="004E0E90">
        <w:rPr>
          <w:b/>
          <w:bCs/>
          <w:i/>
          <w:iCs/>
          <w:sz w:val="20"/>
          <w:szCs w:val="20"/>
        </w:rPr>
        <w:t xml:space="preserve">: </w:t>
      </w:r>
      <w:r w:rsidR="005B65BA" w:rsidRPr="005B65BA">
        <w:rPr>
          <w:b/>
          <w:bCs/>
          <w:i/>
          <w:iCs/>
          <w:sz w:val="20"/>
          <w:szCs w:val="20"/>
        </w:rPr>
        <w:t>To allow the UE to support the two non-contig</w:t>
      </w:r>
      <w:r w:rsidR="00431952">
        <w:rPr>
          <w:b/>
          <w:bCs/>
          <w:i/>
          <w:iCs/>
          <w:sz w:val="20"/>
          <w:szCs w:val="20"/>
        </w:rPr>
        <w:t>u</w:t>
      </w:r>
      <w:r w:rsidR="005B65BA" w:rsidRPr="005B65BA">
        <w:rPr>
          <w:b/>
          <w:bCs/>
          <w:i/>
          <w:iCs/>
          <w:sz w:val="20"/>
          <w:szCs w:val="20"/>
        </w:rPr>
        <w:t xml:space="preserve">ous CCs with common/shared RF chains instead of separate RF chains, the blocker power level in the gap needs to be at </w:t>
      </w:r>
      <w:r w:rsidR="005B65BA">
        <w:rPr>
          <w:b/>
          <w:bCs/>
          <w:i/>
          <w:iCs/>
          <w:sz w:val="20"/>
          <w:szCs w:val="20"/>
        </w:rPr>
        <w:t>a</w:t>
      </w:r>
      <w:r w:rsidR="005B65BA" w:rsidRPr="005B65BA">
        <w:rPr>
          <w:b/>
          <w:bCs/>
          <w:i/>
          <w:iCs/>
          <w:sz w:val="20"/>
          <w:szCs w:val="20"/>
        </w:rPr>
        <w:t>n appropriate level that the UE can handle with common RF chain.</w:t>
      </w:r>
      <w:r w:rsidR="00015EBF">
        <w:rPr>
          <w:b/>
          <w:bCs/>
          <w:i/>
          <w:iCs/>
          <w:sz w:val="20"/>
          <w:szCs w:val="20"/>
        </w:rPr>
        <w:t xml:space="preserve"> </w:t>
      </w:r>
    </w:p>
    <w:p w14:paraId="6860C5F0" w14:textId="77777777" w:rsidR="00184CFD" w:rsidRDefault="00184CFD" w:rsidP="00B10171">
      <w:pPr>
        <w:autoSpaceDE w:val="0"/>
        <w:autoSpaceDN w:val="0"/>
        <w:adjustRightInd w:val="0"/>
        <w:jc w:val="both"/>
        <w:rPr>
          <w:color w:val="000000"/>
          <w:sz w:val="20"/>
          <w:szCs w:val="20"/>
        </w:rPr>
      </w:pPr>
    </w:p>
    <w:p w14:paraId="2F5E91F5" w14:textId="126F293F" w:rsidR="00EF7406" w:rsidRDefault="00EF7406" w:rsidP="00EF7406">
      <w:pPr>
        <w:autoSpaceDE w:val="0"/>
        <w:autoSpaceDN w:val="0"/>
        <w:adjustRightInd w:val="0"/>
        <w:jc w:val="both"/>
        <w:rPr>
          <w:b/>
          <w:bCs/>
          <w:color w:val="000000"/>
          <w:sz w:val="20"/>
          <w:szCs w:val="20"/>
          <w:u w:val="single"/>
        </w:rPr>
      </w:pPr>
      <w:r>
        <w:rPr>
          <w:b/>
          <w:bCs/>
          <w:color w:val="000000"/>
          <w:sz w:val="20"/>
          <w:szCs w:val="20"/>
          <w:u w:val="single"/>
        </w:rPr>
        <w:t>Others</w:t>
      </w:r>
      <w:r w:rsidR="000C5A3A">
        <w:rPr>
          <w:b/>
          <w:bCs/>
          <w:color w:val="000000"/>
          <w:sz w:val="20"/>
          <w:szCs w:val="20"/>
          <w:u w:val="single"/>
        </w:rPr>
        <w:t xml:space="preserve"> including signaling aspects</w:t>
      </w:r>
    </w:p>
    <w:p w14:paraId="5A122484" w14:textId="77777777" w:rsidR="00EF7406" w:rsidRDefault="00EF7406" w:rsidP="00EF7406">
      <w:pPr>
        <w:autoSpaceDE w:val="0"/>
        <w:autoSpaceDN w:val="0"/>
        <w:adjustRightInd w:val="0"/>
        <w:jc w:val="both"/>
        <w:rPr>
          <w:color w:val="000000"/>
          <w:sz w:val="20"/>
          <w:szCs w:val="20"/>
        </w:rPr>
      </w:pPr>
    </w:p>
    <w:tbl>
      <w:tblPr>
        <w:tblStyle w:val="TableGrid"/>
        <w:tblW w:w="0" w:type="auto"/>
        <w:tblLook w:val="04A0" w:firstRow="1" w:lastRow="0" w:firstColumn="1" w:lastColumn="0" w:noHBand="0" w:noVBand="1"/>
      </w:tblPr>
      <w:tblGrid>
        <w:gridCol w:w="9631"/>
      </w:tblGrid>
      <w:tr w:rsidR="00EF7406" w14:paraId="53AB4042" w14:textId="77777777" w:rsidTr="00352CF4">
        <w:tc>
          <w:tcPr>
            <w:tcW w:w="9631" w:type="dxa"/>
          </w:tcPr>
          <w:p w14:paraId="54510952" w14:textId="77777777" w:rsidR="000C5A3A" w:rsidRPr="000C5A3A" w:rsidRDefault="000C5A3A" w:rsidP="000C5A3A">
            <w:pPr>
              <w:pStyle w:val="Heading4"/>
              <w:spacing w:after="60" w:line="240" w:lineRule="atLeast"/>
              <w:rPr>
                <w:rFonts w:ascii="Times New Roman" w:hAnsi="Times New Roman"/>
                <w:b/>
                <w:color w:val="0070C0"/>
                <w:sz w:val="20"/>
                <w:u w:val="single"/>
                <w:lang w:eastAsia="ko-KR"/>
              </w:rPr>
            </w:pPr>
            <w:r w:rsidRPr="000C5A3A">
              <w:rPr>
                <w:rFonts w:ascii="Times New Roman" w:hAnsi="Times New Roman"/>
                <w:b/>
                <w:color w:val="0070C0"/>
                <w:sz w:val="20"/>
                <w:u w:val="single"/>
                <w:lang w:eastAsia="ko-KR"/>
              </w:rPr>
              <w:t>Issue 2-1-6: Others</w:t>
            </w:r>
          </w:p>
          <w:p w14:paraId="43DF7CB5" w14:textId="77777777" w:rsidR="000C5A3A" w:rsidRPr="000C5A3A" w:rsidRDefault="000C5A3A" w:rsidP="000C5A3A">
            <w:pPr>
              <w:rPr>
                <w:rFonts w:eastAsiaTheme="minorEastAsia"/>
                <w:sz w:val="20"/>
                <w:szCs w:val="20"/>
                <w:lang w:eastAsia="zh-TW"/>
              </w:rPr>
            </w:pPr>
            <w:r w:rsidRPr="000C5A3A">
              <w:rPr>
                <w:rFonts w:eastAsiaTheme="minorEastAsia"/>
                <w:sz w:val="20"/>
                <w:szCs w:val="20"/>
                <w:lang w:eastAsia="zh-TW"/>
              </w:rPr>
              <w:t>FFS following proposals in next meeting:</w:t>
            </w:r>
          </w:p>
          <w:p w14:paraId="6FC01780" w14:textId="77777777" w:rsidR="000C5A3A" w:rsidRPr="000C5A3A" w:rsidRDefault="000C5A3A" w:rsidP="000C5A3A">
            <w:pPr>
              <w:pStyle w:val="ListParagraph"/>
              <w:numPr>
                <w:ilvl w:val="0"/>
                <w:numId w:val="37"/>
              </w:numPr>
              <w:autoSpaceDN w:val="0"/>
              <w:spacing w:after="120"/>
              <w:ind w:left="720"/>
              <w:contextualSpacing w:val="0"/>
              <w:rPr>
                <w:rFonts w:eastAsia="SimSun"/>
                <w:color w:val="0070C0"/>
                <w:sz w:val="20"/>
                <w:szCs w:val="20"/>
              </w:rPr>
            </w:pPr>
            <w:r w:rsidRPr="000C5A3A">
              <w:rPr>
                <w:rFonts w:eastAsia="SimSun"/>
                <w:color w:val="0070C0"/>
                <w:sz w:val="20"/>
                <w:szCs w:val="20"/>
              </w:rPr>
              <w:t xml:space="preserve">Proposal 1 </w:t>
            </w:r>
          </w:p>
          <w:p w14:paraId="37526AFC" w14:textId="77777777" w:rsidR="000C5A3A" w:rsidRPr="000C5A3A" w:rsidRDefault="000C5A3A" w:rsidP="000C5A3A">
            <w:pPr>
              <w:pStyle w:val="ListParagraph"/>
              <w:numPr>
                <w:ilvl w:val="0"/>
                <w:numId w:val="37"/>
              </w:numPr>
              <w:overflowPunct w:val="0"/>
              <w:autoSpaceDE w:val="0"/>
              <w:autoSpaceDN w:val="0"/>
              <w:adjustRightInd w:val="0"/>
              <w:spacing w:after="180"/>
              <w:ind w:left="936"/>
              <w:contextualSpacing w:val="0"/>
              <w:rPr>
                <w:b/>
                <w:i/>
                <w:sz w:val="20"/>
                <w:szCs w:val="20"/>
                <w:lang w:eastAsia="en-US"/>
              </w:rPr>
            </w:pPr>
            <w:r w:rsidRPr="000C5A3A">
              <w:rPr>
                <w:b/>
                <w:i/>
                <w:sz w:val="20"/>
                <w:szCs w:val="20"/>
                <w:lang w:eastAsia="en-US"/>
              </w:rPr>
              <w:t>The impact of UE switching between common RF chain and separate RF chains, including potential interruption, should be studied. If there is RRM impact, RAN4 should consider it.</w:t>
            </w:r>
          </w:p>
          <w:p w14:paraId="6FDF0529" w14:textId="77777777" w:rsidR="000C5A3A" w:rsidRPr="000C5A3A" w:rsidRDefault="000C5A3A" w:rsidP="000C5A3A">
            <w:pPr>
              <w:pStyle w:val="ListParagraph"/>
              <w:numPr>
                <w:ilvl w:val="0"/>
                <w:numId w:val="37"/>
              </w:numPr>
              <w:autoSpaceDN w:val="0"/>
              <w:spacing w:after="120"/>
              <w:ind w:left="720"/>
              <w:contextualSpacing w:val="0"/>
              <w:rPr>
                <w:rFonts w:eastAsia="SimSun"/>
                <w:color w:val="0070C0"/>
                <w:sz w:val="20"/>
                <w:szCs w:val="20"/>
              </w:rPr>
            </w:pPr>
            <w:r w:rsidRPr="000C5A3A">
              <w:rPr>
                <w:rFonts w:eastAsia="SimSun"/>
                <w:color w:val="0070C0"/>
                <w:sz w:val="20"/>
                <w:szCs w:val="20"/>
              </w:rPr>
              <w:t xml:space="preserve">Proposal 2 </w:t>
            </w:r>
          </w:p>
          <w:p w14:paraId="59D5D7E6" w14:textId="77777777" w:rsidR="000C5A3A" w:rsidRPr="000C5A3A" w:rsidRDefault="000C5A3A" w:rsidP="000C5A3A">
            <w:pPr>
              <w:pStyle w:val="ListParagraph"/>
              <w:numPr>
                <w:ilvl w:val="0"/>
                <w:numId w:val="37"/>
              </w:numPr>
              <w:overflowPunct w:val="0"/>
              <w:autoSpaceDE w:val="0"/>
              <w:autoSpaceDN w:val="0"/>
              <w:adjustRightInd w:val="0"/>
              <w:spacing w:after="180"/>
              <w:ind w:left="936"/>
              <w:contextualSpacing w:val="0"/>
              <w:rPr>
                <w:b/>
                <w:i/>
                <w:sz w:val="20"/>
                <w:szCs w:val="20"/>
                <w:lang w:eastAsia="en-US"/>
              </w:rPr>
            </w:pPr>
            <w:r w:rsidRPr="000C5A3A">
              <w:rPr>
                <w:b/>
                <w:i/>
                <w:sz w:val="20"/>
                <w:szCs w:val="20"/>
                <w:lang w:eastAsia="en-US"/>
              </w:rPr>
              <w:t>The new CA configuration supported only by adjusted RF requirements could be reported to the NW together with other default supported CA configuration.</w:t>
            </w:r>
          </w:p>
          <w:p w14:paraId="7BC882DE" w14:textId="77777777" w:rsidR="000C5A3A" w:rsidRPr="000C5A3A" w:rsidRDefault="000C5A3A" w:rsidP="000C5A3A">
            <w:pPr>
              <w:pStyle w:val="ListParagraph"/>
              <w:numPr>
                <w:ilvl w:val="0"/>
                <w:numId w:val="37"/>
              </w:numPr>
              <w:autoSpaceDN w:val="0"/>
              <w:spacing w:after="120"/>
              <w:ind w:left="720"/>
              <w:contextualSpacing w:val="0"/>
              <w:rPr>
                <w:rFonts w:eastAsia="SimSun"/>
                <w:color w:val="0070C0"/>
                <w:sz w:val="20"/>
                <w:szCs w:val="20"/>
              </w:rPr>
            </w:pPr>
            <w:r w:rsidRPr="000C5A3A">
              <w:rPr>
                <w:rFonts w:eastAsia="SimSun"/>
                <w:color w:val="0070C0"/>
                <w:sz w:val="20"/>
                <w:szCs w:val="20"/>
              </w:rPr>
              <w:t xml:space="preserve">Proposal 3 </w:t>
            </w:r>
          </w:p>
          <w:p w14:paraId="56518990" w14:textId="77777777" w:rsidR="000C5A3A" w:rsidRPr="000C5A3A" w:rsidRDefault="000C5A3A" w:rsidP="000C5A3A">
            <w:pPr>
              <w:pStyle w:val="ListParagraph"/>
              <w:numPr>
                <w:ilvl w:val="0"/>
                <w:numId w:val="37"/>
              </w:numPr>
              <w:overflowPunct w:val="0"/>
              <w:autoSpaceDE w:val="0"/>
              <w:autoSpaceDN w:val="0"/>
              <w:adjustRightInd w:val="0"/>
              <w:spacing w:after="180"/>
              <w:ind w:left="936"/>
              <w:contextualSpacing w:val="0"/>
              <w:rPr>
                <w:b/>
                <w:i/>
                <w:sz w:val="20"/>
                <w:szCs w:val="20"/>
                <w:lang w:eastAsia="en-US"/>
              </w:rPr>
            </w:pPr>
            <w:r w:rsidRPr="000C5A3A">
              <w:rPr>
                <w:b/>
                <w:i/>
                <w:sz w:val="20"/>
                <w:szCs w:val="20"/>
                <w:lang w:eastAsia="en-US"/>
              </w:rPr>
              <w:t>gNB trigger UE to measure gap could be considered.</w:t>
            </w:r>
          </w:p>
          <w:p w14:paraId="35212593" w14:textId="77777777" w:rsidR="00EF7406" w:rsidRDefault="00EF7406" w:rsidP="00352CF4">
            <w:pPr>
              <w:autoSpaceDE w:val="0"/>
              <w:autoSpaceDN w:val="0"/>
              <w:adjustRightInd w:val="0"/>
              <w:jc w:val="both"/>
              <w:rPr>
                <w:b/>
                <w:bCs/>
                <w:color w:val="000000"/>
                <w:sz w:val="20"/>
                <w:szCs w:val="20"/>
                <w:u w:val="single"/>
              </w:rPr>
            </w:pPr>
          </w:p>
        </w:tc>
      </w:tr>
    </w:tbl>
    <w:p w14:paraId="72D6A400" w14:textId="77777777" w:rsidR="00EF7406" w:rsidRDefault="00EF7406" w:rsidP="00B10171">
      <w:pPr>
        <w:autoSpaceDE w:val="0"/>
        <w:autoSpaceDN w:val="0"/>
        <w:adjustRightInd w:val="0"/>
        <w:jc w:val="both"/>
        <w:rPr>
          <w:color w:val="000000"/>
          <w:sz w:val="20"/>
          <w:szCs w:val="20"/>
        </w:rPr>
      </w:pPr>
    </w:p>
    <w:p w14:paraId="6A39121B" w14:textId="77777777" w:rsidR="00AF42F5" w:rsidRDefault="00AF42F5" w:rsidP="00F04A63">
      <w:pPr>
        <w:autoSpaceDE w:val="0"/>
        <w:autoSpaceDN w:val="0"/>
        <w:adjustRightInd w:val="0"/>
        <w:jc w:val="both"/>
        <w:rPr>
          <w:color w:val="000000"/>
          <w:sz w:val="20"/>
          <w:szCs w:val="20"/>
        </w:rPr>
      </w:pPr>
    </w:p>
    <w:p w14:paraId="214477E9" w14:textId="77777777" w:rsidR="00A17CD8" w:rsidRDefault="00BC0FB5" w:rsidP="00A17CD8">
      <w:pPr>
        <w:autoSpaceDE w:val="0"/>
        <w:autoSpaceDN w:val="0"/>
        <w:adjustRightInd w:val="0"/>
        <w:jc w:val="both"/>
        <w:rPr>
          <w:color w:val="000000"/>
          <w:sz w:val="20"/>
          <w:szCs w:val="20"/>
        </w:rPr>
      </w:pPr>
      <w:r>
        <w:rPr>
          <w:color w:val="000000"/>
          <w:sz w:val="20"/>
          <w:szCs w:val="20"/>
        </w:rPr>
        <w:t xml:space="preserve">Besides the UE ability to switch, there needs to be signaling support for UE to inform the network of </w:t>
      </w:r>
      <w:r w:rsidRPr="00BC0FB5">
        <w:rPr>
          <w:color w:val="000000"/>
          <w:sz w:val="20"/>
          <w:szCs w:val="20"/>
        </w:rPr>
        <w:t xml:space="preserve">appropriate CA configuration it can support </w:t>
      </w:r>
      <w:r>
        <w:rPr>
          <w:color w:val="000000"/>
          <w:sz w:val="20"/>
          <w:szCs w:val="20"/>
        </w:rPr>
        <w:t xml:space="preserve">after switching to common RF chains allowed by </w:t>
      </w:r>
      <w:r w:rsidRPr="00BC0FB5">
        <w:rPr>
          <w:color w:val="000000"/>
          <w:sz w:val="20"/>
          <w:szCs w:val="20"/>
        </w:rPr>
        <w:t>adjusted RF requirements</w:t>
      </w:r>
      <w:r w:rsidR="00D8729A">
        <w:rPr>
          <w:color w:val="000000"/>
          <w:sz w:val="20"/>
          <w:szCs w:val="20"/>
        </w:rPr>
        <w:t>.</w:t>
      </w:r>
      <w:r>
        <w:rPr>
          <w:color w:val="000000"/>
          <w:sz w:val="20"/>
          <w:szCs w:val="20"/>
        </w:rPr>
        <w:t xml:space="preserve"> Usually, the CA configurations supported by a UE are reported to the network when the UE camps on a cell and receives capability inquiry from the network. In th</w:t>
      </w:r>
      <w:r w:rsidR="00A14D24">
        <w:rPr>
          <w:color w:val="000000"/>
          <w:sz w:val="20"/>
          <w:szCs w:val="20"/>
        </w:rPr>
        <w:t>e</w:t>
      </w:r>
      <w:r>
        <w:rPr>
          <w:color w:val="000000"/>
          <w:sz w:val="20"/>
          <w:szCs w:val="20"/>
        </w:rPr>
        <w:t xml:space="preserve"> case</w:t>
      </w:r>
      <w:r w:rsidR="00A14D24">
        <w:rPr>
          <w:color w:val="000000"/>
          <w:sz w:val="20"/>
          <w:szCs w:val="20"/>
        </w:rPr>
        <w:t xml:space="preserve"> of RF chain switching</w:t>
      </w:r>
      <w:r>
        <w:rPr>
          <w:color w:val="000000"/>
          <w:sz w:val="20"/>
          <w:szCs w:val="20"/>
        </w:rPr>
        <w:t>, however, the UE may need to update its supported CA configuration after it is configured with some CA combination</w:t>
      </w:r>
      <w:r w:rsidR="00344A73">
        <w:rPr>
          <w:color w:val="000000"/>
          <w:sz w:val="20"/>
          <w:szCs w:val="20"/>
        </w:rPr>
        <w:t xml:space="preserve"> by the network through RRC. </w:t>
      </w:r>
      <w:r w:rsidR="00015EBF">
        <w:rPr>
          <w:color w:val="000000"/>
          <w:sz w:val="20"/>
          <w:szCs w:val="20"/>
        </w:rPr>
        <w:t xml:space="preserve">An alternative way is that the UE reports to network that it is capable of Rx chain sharing for the supported band combination, either by additional signaling on top of existing band combination reporting or by defining </w:t>
      </w:r>
      <w:r w:rsidR="008D3B76">
        <w:rPr>
          <w:color w:val="000000"/>
          <w:sz w:val="20"/>
          <w:szCs w:val="20"/>
        </w:rPr>
        <w:t>a</w:t>
      </w:r>
      <w:r w:rsidR="00015EBF">
        <w:rPr>
          <w:color w:val="000000"/>
          <w:sz w:val="20"/>
          <w:szCs w:val="20"/>
        </w:rPr>
        <w:t xml:space="preserve"> dedicated band combination reporting for UE supporting Rx chain sharing.</w:t>
      </w:r>
      <w:r w:rsidR="00A17CD8">
        <w:rPr>
          <w:color w:val="000000"/>
          <w:sz w:val="20"/>
          <w:szCs w:val="20"/>
        </w:rPr>
        <w:t xml:space="preserve"> </w:t>
      </w:r>
    </w:p>
    <w:p w14:paraId="02D29064" w14:textId="77777777" w:rsidR="00A17CD8" w:rsidRDefault="00A17CD8" w:rsidP="00A17CD8">
      <w:pPr>
        <w:autoSpaceDE w:val="0"/>
        <w:autoSpaceDN w:val="0"/>
        <w:adjustRightInd w:val="0"/>
        <w:jc w:val="both"/>
        <w:rPr>
          <w:color w:val="000000"/>
          <w:sz w:val="20"/>
          <w:szCs w:val="20"/>
        </w:rPr>
      </w:pPr>
    </w:p>
    <w:p w14:paraId="7D8F137D" w14:textId="6F0DC07E" w:rsidR="00A14D24" w:rsidRDefault="00A17CD8" w:rsidP="00A17CD8">
      <w:pPr>
        <w:autoSpaceDE w:val="0"/>
        <w:autoSpaceDN w:val="0"/>
        <w:adjustRightInd w:val="0"/>
        <w:jc w:val="both"/>
        <w:rPr>
          <w:color w:val="000000"/>
          <w:sz w:val="20"/>
          <w:szCs w:val="20"/>
        </w:rPr>
      </w:pPr>
      <w:r>
        <w:rPr>
          <w:color w:val="000000"/>
          <w:sz w:val="20"/>
          <w:szCs w:val="20"/>
        </w:rPr>
        <w:t xml:space="preserve">On the proposal that </w:t>
      </w:r>
      <w:r w:rsidRPr="00A17CD8">
        <w:rPr>
          <w:color w:val="000000"/>
          <w:sz w:val="20"/>
          <w:szCs w:val="20"/>
        </w:rPr>
        <w:t>gNB trigger</w:t>
      </w:r>
      <w:r>
        <w:rPr>
          <w:color w:val="000000"/>
          <w:sz w:val="20"/>
          <w:szCs w:val="20"/>
        </w:rPr>
        <w:t>s</w:t>
      </w:r>
      <w:r w:rsidRPr="00A17CD8">
        <w:rPr>
          <w:color w:val="000000"/>
          <w:sz w:val="20"/>
          <w:szCs w:val="20"/>
        </w:rPr>
        <w:t xml:space="preserve"> UE to </w:t>
      </w:r>
      <w:r>
        <w:rPr>
          <w:color w:val="000000"/>
          <w:sz w:val="20"/>
          <w:szCs w:val="20"/>
        </w:rPr>
        <w:t xml:space="preserve">measure blocker power in the </w:t>
      </w:r>
      <w:r w:rsidRPr="00A17CD8">
        <w:rPr>
          <w:color w:val="000000"/>
          <w:sz w:val="20"/>
          <w:szCs w:val="20"/>
        </w:rPr>
        <w:t xml:space="preserve">gap </w:t>
      </w:r>
      <w:r>
        <w:rPr>
          <w:color w:val="000000"/>
          <w:sz w:val="20"/>
          <w:szCs w:val="20"/>
        </w:rPr>
        <w:t xml:space="preserve">in between two fragments, we agree this is an important aspect if the blocker power is not properly restricted. In this case, </w:t>
      </w:r>
      <w:r w:rsidR="00C60E70">
        <w:rPr>
          <w:color w:val="000000"/>
          <w:sz w:val="20"/>
          <w:szCs w:val="20"/>
        </w:rPr>
        <w:t xml:space="preserve">UE may or may not need </w:t>
      </w:r>
      <w:r w:rsidR="00C60E70" w:rsidRPr="00C60E70">
        <w:rPr>
          <w:color w:val="000000"/>
          <w:sz w:val="20"/>
          <w:szCs w:val="20"/>
        </w:rPr>
        <w:t>measurement gap</w:t>
      </w:r>
      <w:r w:rsidR="00C60E70">
        <w:rPr>
          <w:color w:val="000000"/>
          <w:sz w:val="20"/>
          <w:szCs w:val="20"/>
        </w:rPr>
        <w:t xml:space="preserve"> </w:t>
      </w:r>
      <w:r w:rsidR="00C60E70" w:rsidRPr="00C60E70">
        <w:rPr>
          <w:color w:val="000000"/>
          <w:sz w:val="20"/>
          <w:szCs w:val="20"/>
        </w:rPr>
        <w:t xml:space="preserve">to measure the blocker, </w:t>
      </w:r>
      <w:r w:rsidR="00C60E70">
        <w:rPr>
          <w:color w:val="000000"/>
          <w:sz w:val="20"/>
          <w:szCs w:val="20"/>
        </w:rPr>
        <w:t xml:space="preserve">depending on if </w:t>
      </w:r>
      <w:r w:rsidR="00C60E70" w:rsidRPr="00C60E70">
        <w:rPr>
          <w:color w:val="000000"/>
          <w:sz w:val="20"/>
          <w:szCs w:val="20"/>
        </w:rPr>
        <w:t>the network configure</w:t>
      </w:r>
      <w:r w:rsidR="00C60E70">
        <w:rPr>
          <w:color w:val="000000"/>
          <w:sz w:val="20"/>
          <w:szCs w:val="20"/>
        </w:rPr>
        <w:t xml:space="preserve">s such measurement </w:t>
      </w:r>
      <w:r w:rsidR="00C60E70" w:rsidRPr="00C60E70">
        <w:rPr>
          <w:color w:val="000000"/>
          <w:sz w:val="20"/>
          <w:szCs w:val="20"/>
        </w:rPr>
        <w:t xml:space="preserve">before </w:t>
      </w:r>
      <w:r w:rsidR="00C60E70">
        <w:rPr>
          <w:color w:val="000000"/>
          <w:sz w:val="20"/>
          <w:szCs w:val="20"/>
        </w:rPr>
        <w:t xml:space="preserve">or after </w:t>
      </w:r>
      <w:r w:rsidR="00C60E70" w:rsidRPr="00C60E70">
        <w:rPr>
          <w:color w:val="000000"/>
          <w:sz w:val="20"/>
          <w:szCs w:val="20"/>
        </w:rPr>
        <w:t>configuring the CA</w:t>
      </w:r>
      <w:r w:rsidR="00C60E70">
        <w:rPr>
          <w:color w:val="000000"/>
          <w:sz w:val="20"/>
          <w:szCs w:val="20"/>
        </w:rPr>
        <w:t xml:space="preserve"> for the two non-contiguous fragments (CCs)</w:t>
      </w:r>
      <w:r w:rsidR="00C60E70" w:rsidRPr="00C60E70">
        <w:rPr>
          <w:color w:val="000000"/>
          <w:sz w:val="20"/>
          <w:szCs w:val="20"/>
        </w:rPr>
        <w:t>.</w:t>
      </w:r>
      <w:r w:rsidR="00C60E70">
        <w:rPr>
          <w:color w:val="000000"/>
          <w:sz w:val="20"/>
          <w:szCs w:val="20"/>
        </w:rPr>
        <w:t xml:space="preserve"> And if such a measurement of blocker is considered, there could be a </w:t>
      </w:r>
      <w:r>
        <w:rPr>
          <w:color w:val="000000"/>
          <w:sz w:val="20"/>
          <w:szCs w:val="20"/>
        </w:rPr>
        <w:t xml:space="preserve">third alternative </w:t>
      </w:r>
      <w:r w:rsidR="00C60E70">
        <w:rPr>
          <w:color w:val="000000"/>
          <w:sz w:val="20"/>
          <w:szCs w:val="20"/>
        </w:rPr>
        <w:t xml:space="preserve">on the signaling consideration. For example, the </w:t>
      </w:r>
      <w:r w:rsidRPr="00A17CD8">
        <w:rPr>
          <w:color w:val="000000"/>
          <w:sz w:val="20"/>
          <w:szCs w:val="20"/>
        </w:rPr>
        <w:t xml:space="preserve">UE </w:t>
      </w:r>
      <w:r w:rsidR="00C60E70">
        <w:rPr>
          <w:color w:val="000000"/>
          <w:sz w:val="20"/>
          <w:szCs w:val="20"/>
        </w:rPr>
        <w:t xml:space="preserve">can </w:t>
      </w:r>
      <w:r>
        <w:rPr>
          <w:color w:val="000000"/>
          <w:sz w:val="20"/>
          <w:szCs w:val="20"/>
        </w:rPr>
        <w:t xml:space="preserve">first </w:t>
      </w:r>
      <w:r w:rsidRPr="00A17CD8">
        <w:rPr>
          <w:color w:val="000000"/>
          <w:sz w:val="20"/>
          <w:szCs w:val="20"/>
        </w:rPr>
        <w:t>report high UE capabilities</w:t>
      </w:r>
      <w:r w:rsidR="00C60E70">
        <w:rPr>
          <w:color w:val="000000"/>
          <w:sz w:val="20"/>
          <w:szCs w:val="20"/>
        </w:rPr>
        <w:t xml:space="preserve">, i.e., support of </w:t>
      </w:r>
      <w:r w:rsidRPr="00A17CD8">
        <w:rPr>
          <w:color w:val="000000"/>
          <w:sz w:val="20"/>
          <w:szCs w:val="20"/>
        </w:rPr>
        <w:t>CC</w:t>
      </w:r>
      <w:r w:rsidR="00C60E70">
        <w:rPr>
          <w:color w:val="000000"/>
          <w:sz w:val="20"/>
          <w:szCs w:val="20"/>
        </w:rPr>
        <w:t>s,</w:t>
      </w:r>
      <w:r w:rsidRPr="00A17CD8">
        <w:rPr>
          <w:color w:val="000000"/>
          <w:sz w:val="20"/>
          <w:szCs w:val="20"/>
        </w:rPr>
        <w:t xml:space="preserve"> assuming non-continuous CC</w:t>
      </w:r>
      <w:r w:rsidR="00C60E70">
        <w:rPr>
          <w:color w:val="000000"/>
          <w:sz w:val="20"/>
          <w:szCs w:val="20"/>
        </w:rPr>
        <w:t>s</w:t>
      </w:r>
      <w:r w:rsidRPr="00A17CD8">
        <w:rPr>
          <w:color w:val="000000"/>
          <w:sz w:val="20"/>
          <w:szCs w:val="20"/>
        </w:rPr>
        <w:t xml:space="preserve"> can be handled by </w:t>
      </w:r>
      <w:r w:rsidR="00C60E70">
        <w:rPr>
          <w:color w:val="000000"/>
          <w:sz w:val="20"/>
          <w:szCs w:val="20"/>
        </w:rPr>
        <w:t>common</w:t>
      </w:r>
      <w:r w:rsidRPr="00A17CD8">
        <w:rPr>
          <w:color w:val="000000"/>
          <w:sz w:val="20"/>
          <w:szCs w:val="20"/>
        </w:rPr>
        <w:t xml:space="preserve"> RF chain. </w:t>
      </w:r>
      <w:r w:rsidR="00C60E70">
        <w:rPr>
          <w:color w:val="000000"/>
          <w:sz w:val="20"/>
          <w:szCs w:val="20"/>
        </w:rPr>
        <w:t xml:space="preserve">If the blocker power is too high, the </w:t>
      </w:r>
      <w:r w:rsidRPr="00A17CD8">
        <w:rPr>
          <w:color w:val="000000"/>
          <w:sz w:val="20"/>
          <w:szCs w:val="20"/>
        </w:rPr>
        <w:t xml:space="preserve">UE </w:t>
      </w:r>
      <w:r w:rsidR="00C60E70">
        <w:rPr>
          <w:color w:val="000000"/>
          <w:sz w:val="20"/>
          <w:szCs w:val="20"/>
        </w:rPr>
        <w:t>can inform the network that only fewer CCs can be supported</w:t>
      </w:r>
      <w:r w:rsidRPr="00A17CD8">
        <w:rPr>
          <w:color w:val="000000"/>
          <w:sz w:val="20"/>
          <w:szCs w:val="20"/>
        </w:rPr>
        <w:t>.</w:t>
      </w:r>
      <w:r w:rsidR="007278E6">
        <w:rPr>
          <w:color w:val="000000"/>
          <w:sz w:val="20"/>
          <w:szCs w:val="20"/>
        </w:rPr>
        <w:t xml:space="preserve"> It is important to note that the need of blocker measurement is only needed if the blocker power cannot be properly restricted by deployment.</w:t>
      </w:r>
    </w:p>
    <w:p w14:paraId="07424FD3" w14:textId="77777777" w:rsidR="000C5A3A" w:rsidRDefault="000C5A3A" w:rsidP="00101278">
      <w:pPr>
        <w:autoSpaceDE w:val="0"/>
        <w:autoSpaceDN w:val="0"/>
        <w:adjustRightInd w:val="0"/>
        <w:jc w:val="both"/>
        <w:rPr>
          <w:color w:val="000000"/>
          <w:sz w:val="20"/>
          <w:szCs w:val="20"/>
        </w:rPr>
      </w:pPr>
    </w:p>
    <w:p w14:paraId="2783CB9C" w14:textId="42E6907C" w:rsidR="000C5A3A" w:rsidRPr="00DF05B0" w:rsidRDefault="000C5A3A" w:rsidP="00101278">
      <w:pPr>
        <w:autoSpaceDE w:val="0"/>
        <w:autoSpaceDN w:val="0"/>
        <w:adjustRightInd w:val="0"/>
        <w:jc w:val="both"/>
        <w:rPr>
          <w:color w:val="000000"/>
          <w:sz w:val="20"/>
          <w:szCs w:val="20"/>
          <w:lang w:val="en-GB"/>
        </w:rPr>
      </w:pPr>
      <w:r>
        <w:rPr>
          <w:color w:val="000000"/>
          <w:sz w:val="20"/>
          <w:szCs w:val="20"/>
        </w:rPr>
        <w:t xml:space="preserve">In addition, there is a proposal from [4] </w:t>
      </w:r>
      <w:r w:rsidR="00DF05B0">
        <w:rPr>
          <w:color w:val="000000"/>
          <w:sz w:val="20"/>
          <w:szCs w:val="20"/>
        </w:rPr>
        <w:t>to cons</w:t>
      </w:r>
      <w:r w:rsidR="00DF05B0" w:rsidRPr="00DF05B0">
        <w:rPr>
          <w:color w:val="000000"/>
          <w:sz w:val="20"/>
          <w:szCs w:val="20"/>
        </w:rPr>
        <w:t>ider a new syntax</w:t>
      </w:r>
      <w:r w:rsidR="00DF05B0">
        <w:rPr>
          <w:color w:val="000000"/>
          <w:sz w:val="20"/>
          <w:szCs w:val="20"/>
        </w:rPr>
        <w:t>/notation</w:t>
      </w:r>
      <w:r w:rsidR="00DF05B0" w:rsidRPr="00DF05B0">
        <w:rPr>
          <w:color w:val="000000"/>
          <w:sz w:val="20"/>
          <w:szCs w:val="20"/>
        </w:rPr>
        <w:t xml:space="preserve"> for indicating support of fragmented carrier operation in a CA configuration</w:t>
      </w:r>
      <w:r w:rsidR="00DF05B0">
        <w:rPr>
          <w:color w:val="000000"/>
          <w:sz w:val="20"/>
          <w:szCs w:val="20"/>
        </w:rPr>
        <w:t>. We agree this can be further explored.</w:t>
      </w:r>
    </w:p>
    <w:p w14:paraId="07F232CE" w14:textId="77777777" w:rsidR="00A14D24" w:rsidRDefault="00A14D24" w:rsidP="00101278">
      <w:pPr>
        <w:autoSpaceDE w:val="0"/>
        <w:autoSpaceDN w:val="0"/>
        <w:adjustRightInd w:val="0"/>
        <w:jc w:val="both"/>
        <w:rPr>
          <w:color w:val="000000"/>
          <w:sz w:val="20"/>
          <w:szCs w:val="20"/>
        </w:rPr>
      </w:pPr>
    </w:p>
    <w:p w14:paraId="55C2B184" w14:textId="330C5B65" w:rsidR="00DF05B0" w:rsidRPr="00DF05B0" w:rsidRDefault="00DF05B0" w:rsidP="00DF05B0">
      <w:pPr>
        <w:spacing w:before="100" w:beforeAutospacing="1" w:after="100"/>
        <w:rPr>
          <w:b/>
          <w:bCs/>
          <w:i/>
          <w:iCs/>
          <w:sz w:val="20"/>
          <w:szCs w:val="20"/>
        </w:rPr>
      </w:pPr>
      <w:r w:rsidRPr="00DF05B0">
        <w:rPr>
          <w:b/>
          <w:bCs/>
          <w:i/>
          <w:iCs/>
          <w:sz w:val="20"/>
          <w:szCs w:val="20"/>
        </w:rPr>
        <w:t>Proposal</w:t>
      </w:r>
      <w:r>
        <w:rPr>
          <w:b/>
          <w:bCs/>
          <w:i/>
          <w:iCs/>
          <w:sz w:val="20"/>
          <w:szCs w:val="20"/>
        </w:rPr>
        <w:t xml:space="preserve"> 6</w:t>
      </w:r>
      <w:r w:rsidRPr="00DF05B0">
        <w:rPr>
          <w:b/>
          <w:bCs/>
          <w:i/>
          <w:iCs/>
          <w:sz w:val="20"/>
          <w:szCs w:val="20"/>
        </w:rPr>
        <w:t xml:space="preserve">: </w:t>
      </w:r>
      <w:r w:rsidR="00DD3082">
        <w:rPr>
          <w:b/>
          <w:bCs/>
          <w:i/>
          <w:iCs/>
          <w:sz w:val="20"/>
          <w:szCs w:val="20"/>
        </w:rPr>
        <w:t xml:space="preserve">In terms of signaling, several </w:t>
      </w:r>
      <w:r w:rsidRPr="00DF05B0">
        <w:rPr>
          <w:b/>
          <w:bCs/>
          <w:i/>
          <w:iCs/>
          <w:sz w:val="20"/>
          <w:szCs w:val="20"/>
        </w:rPr>
        <w:t>alternatives can be considered for band combination reporting for UE capable of Rx chain sharing</w:t>
      </w:r>
    </w:p>
    <w:p w14:paraId="2921080B" w14:textId="77777777" w:rsidR="00DF05B0" w:rsidRDefault="00DF05B0" w:rsidP="00A17CD8">
      <w:pPr>
        <w:pStyle w:val="ListParagraph"/>
        <w:numPr>
          <w:ilvl w:val="0"/>
          <w:numId w:val="40"/>
        </w:numPr>
        <w:spacing w:before="100" w:beforeAutospacing="1" w:after="100"/>
        <w:rPr>
          <w:b/>
          <w:bCs/>
          <w:i/>
          <w:iCs/>
          <w:sz w:val="20"/>
          <w:szCs w:val="20"/>
        </w:rPr>
      </w:pPr>
      <w:r w:rsidRPr="00A17CD8">
        <w:rPr>
          <w:b/>
          <w:bCs/>
          <w:i/>
          <w:iCs/>
          <w:sz w:val="20"/>
          <w:szCs w:val="20"/>
        </w:rPr>
        <w:t>Alt. 1: Legacy band combination reporting scheme + Rx sharing capability indication</w:t>
      </w:r>
    </w:p>
    <w:p w14:paraId="3023E54B" w14:textId="663727B4" w:rsidR="00DD3082" w:rsidRPr="00A17CD8" w:rsidRDefault="00DD3082" w:rsidP="00A17CD8">
      <w:pPr>
        <w:pStyle w:val="ListParagraph"/>
        <w:numPr>
          <w:ilvl w:val="0"/>
          <w:numId w:val="40"/>
        </w:numPr>
        <w:spacing w:before="100" w:beforeAutospacing="1" w:after="100"/>
        <w:rPr>
          <w:b/>
          <w:bCs/>
          <w:i/>
          <w:iCs/>
          <w:sz w:val="20"/>
          <w:szCs w:val="20"/>
        </w:rPr>
      </w:pPr>
      <w:r>
        <w:rPr>
          <w:b/>
          <w:bCs/>
          <w:i/>
          <w:iCs/>
          <w:sz w:val="20"/>
          <w:szCs w:val="20"/>
        </w:rPr>
        <w:t>Alt. 2: Band combination capability update with the supported number of CCs</w:t>
      </w:r>
    </w:p>
    <w:p w14:paraId="4C4B1E68" w14:textId="35450178" w:rsidR="00DF05B0" w:rsidRPr="00A17CD8" w:rsidRDefault="00DF05B0" w:rsidP="00A17CD8">
      <w:pPr>
        <w:pStyle w:val="ListParagraph"/>
        <w:numPr>
          <w:ilvl w:val="0"/>
          <w:numId w:val="40"/>
        </w:numPr>
        <w:spacing w:before="100" w:beforeAutospacing="1" w:after="100"/>
        <w:rPr>
          <w:b/>
          <w:bCs/>
          <w:i/>
          <w:iCs/>
          <w:sz w:val="20"/>
          <w:szCs w:val="20"/>
        </w:rPr>
      </w:pPr>
      <w:r w:rsidRPr="00A17CD8">
        <w:rPr>
          <w:b/>
          <w:bCs/>
          <w:i/>
          <w:iCs/>
          <w:sz w:val="20"/>
          <w:szCs w:val="20"/>
        </w:rPr>
        <w:t xml:space="preserve">Alt. </w:t>
      </w:r>
      <w:r w:rsidR="00DD3082">
        <w:rPr>
          <w:b/>
          <w:bCs/>
          <w:i/>
          <w:iCs/>
          <w:sz w:val="20"/>
          <w:szCs w:val="20"/>
        </w:rPr>
        <w:t>3</w:t>
      </w:r>
      <w:r w:rsidRPr="00A17CD8">
        <w:rPr>
          <w:b/>
          <w:bCs/>
          <w:i/>
          <w:iCs/>
          <w:sz w:val="20"/>
          <w:szCs w:val="20"/>
        </w:rPr>
        <w:t xml:space="preserve">: New band combination definition e.g. CA_F_n25(2A) + new set of </w:t>
      </w:r>
      <w:r w:rsidR="00FE283E" w:rsidRPr="00A17CD8">
        <w:rPr>
          <w:b/>
          <w:bCs/>
          <w:i/>
          <w:iCs/>
          <w:sz w:val="20"/>
          <w:szCs w:val="20"/>
        </w:rPr>
        <w:t>signaling</w:t>
      </w:r>
    </w:p>
    <w:p w14:paraId="6DB1484C" w14:textId="00024F08" w:rsidR="00DF05B0" w:rsidRDefault="00DF05B0" w:rsidP="009E1B5E">
      <w:pPr>
        <w:autoSpaceDE w:val="0"/>
        <w:autoSpaceDN w:val="0"/>
        <w:adjustRightInd w:val="0"/>
        <w:jc w:val="both"/>
        <w:rPr>
          <w:color w:val="000000"/>
          <w:sz w:val="20"/>
          <w:szCs w:val="20"/>
        </w:rPr>
      </w:pPr>
    </w:p>
    <w:p w14:paraId="471F7FD6" w14:textId="3F3C6025" w:rsidR="003859C7" w:rsidRDefault="00FB3AFD" w:rsidP="009E1B5E">
      <w:pPr>
        <w:autoSpaceDE w:val="0"/>
        <w:autoSpaceDN w:val="0"/>
        <w:adjustRightInd w:val="0"/>
        <w:jc w:val="both"/>
        <w:rPr>
          <w:color w:val="000000"/>
          <w:sz w:val="20"/>
          <w:szCs w:val="20"/>
        </w:rPr>
      </w:pPr>
      <w:r w:rsidRPr="00D81A1C">
        <w:rPr>
          <w:color w:val="000000"/>
          <w:sz w:val="20"/>
          <w:szCs w:val="20"/>
        </w:rPr>
        <w:t>Another point is how to efficiently configure and activate fragmented carriers.</w:t>
      </w:r>
      <w:r w:rsidR="00AE5A0B" w:rsidRPr="00D81A1C">
        <w:rPr>
          <w:color w:val="000000"/>
          <w:sz w:val="20"/>
          <w:szCs w:val="20"/>
        </w:rPr>
        <w:t xml:space="preserve"> In legacy CA, </w:t>
      </w:r>
      <w:r w:rsidR="00331C63" w:rsidRPr="00D81A1C">
        <w:rPr>
          <w:color w:val="000000"/>
          <w:sz w:val="20"/>
          <w:szCs w:val="20"/>
        </w:rPr>
        <w:t xml:space="preserve">typically secondary carrier is added and activated based on UE measurement. </w:t>
      </w:r>
      <w:r w:rsidR="00F8405D" w:rsidRPr="00D81A1C">
        <w:rPr>
          <w:color w:val="000000"/>
          <w:sz w:val="20"/>
          <w:szCs w:val="20"/>
        </w:rPr>
        <w:t xml:space="preserve">However, in fragmented </w:t>
      </w:r>
      <w:proofErr w:type="gramStart"/>
      <w:r w:rsidR="00F8405D" w:rsidRPr="00D81A1C">
        <w:rPr>
          <w:color w:val="000000"/>
          <w:sz w:val="20"/>
          <w:szCs w:val="20"/>
        </w:rPr>
        <w:t>carriers</w:t>
      </w:r>
      <w:proofErr w:type="gramEnd"/>
      <w:r w:rsidR="00F8405D" w:rsidRPr="00D81A1C">
        <w:rPr>
          <w:color w:val="000000"/>
          <w:sz w:val="20"/>
          <w:szCs w:val="20"/>
        </w:rPr>
        <w:t xml:space="preserve"> scenario </w:t>
      </w:r>
      <w:r w:rsidR="002E46ED" w:rsidRPr="00D81A1C">
        <w:rPr>
          <w:color w:val="000000"/>
          <w:sz w:val="20"/>
          <w:szCs w:val="20"/>
        </w:rPr>
        <w:t xml:space="preserve">there are multiple non-contiguous </w:t>
      </w:r>
      <w:r w:rsidR="00EB75DA" w:rsidRPr="00D81A1C">
        <w:rPr>
          <w:color w:val="000000"/>
          <w:sz w:val="20"/>
          <w:szCs w:val="20"/>
        </w:rPr>
        <w:t>spectrum</w:t>
      </w:r>
      <w:r w:rsidR="00DE2C29" w:rsidRPr="00D81A1C">
        <w:rPr>
          <w:color w:val="000000"/>
          <w:sz w:val="20"/>
          <w:szCs w:val="20"/>
        </w:rPr>
        <w:t xml:space="preserve"> in one single cell</w:t>
      </w:r>
      <w:r w:rsidR="00451EEC" w:rsidRPr="00D81A1C">
        <w:rPr>
          <w:color w:val="000000"/>
          <w:sz w:val="20"/>
          <w:szCs w:val="20"/>
        </w:rPr>
        <w:t>.</w:t>
      </w:r>
      <w:r w:rsidR="00B00EBF" w:rsidRPr="00D81A1C">
        <w:rPr>
          <w:color w:val="000000"/>
          <w:sz w:val="20"/>
          <w:szCs w:val="20"/>
        </w:rPr>
        <w:t xml:space="preserve"> </w:t>
      </w:r>
      <w:r w:rsidR="00E97A6A" w:rsidRPr="00D81A1C">
        <w:rPr>
          <w:color w:val="000000"/>
          <w:sz w:val="20"/>
          <w:szCs w:val="20"/>
        </w:rPr>
        <w:t xml:space="preserve">It is inefficient for UE to measure all </w:t>
      </w:r>
      <w:r w:rsidR="00DD576C" w:rsidRPr="00D81A1C">
        <w:rPr>
          <w:color w:val="000000"/>
          <w:sz w:val="20"/>
          <w:szCs w:val="20"/>
        </w:rPr>
        <w:t xml:space="preserve">spectrums </w:t>
      </w:r>
      <w:r w:rsidR="00FA5C5F" w:rsidRPr="00D81A1C">
        <w:rPr>
          <w:color w:val="000000"/>
          <w:sz w:val="20"/>
          <w:szCs w:val="20"/>
        </w:rPr>
        <w:t xml:space="preserve">and then derive cell level measurement report. </w:t>
      </w:r>
      <w:r w:rsidR="008E69A6" w:rsidRPr="00D81A1C">
        <w:rPr>
          <w:color w:val="000000"/>
          <w:sz w:val="20"/>
          <w:szCs w:val="20"/>
        </w:rPr>
        <w:t xml:space="preserve">One possible solution is to introduce </w:t>
      </w:r>
      <w:r w:rsidR="002F58B3" w:rsidRPr="00D81A1C">
        <w:rPr>
          <w:color w:val="000000"/>
          <w:sz w:val="20"/>
          <w:szCs w:val="20"/>
        </w:rPr>
        <w:t xml:space="preserve">anchor spectrum/SSB. </w:t>
      </w:r>
      <w:r w:rsidR="00F42B3E" w:rsidRPr="00D81A1C">
        <w:rPr>
          <w:color w:val="000000"/>
          <w:sz w:val="20"/>
          <w:szCs w:val="20"/>
        </w:rPr>
        <w:t xml:space="preserve">In the figure below, </w:t>
      </w:r>
      <w:r w:rsidR="002F58B3" w:rsidRPr="00D81A1C">
        <w:rPr>
          <w:color w:val="000000"/>
          <w:sz w:val="20"/>
          <w:szCs w:val="20"/>
        </w:rPr>
        <w:t xml:space="preserve">UE </w:t>
      </w:r>
      <w:r w:rsidR="00BF24C0" w:rsidRPr="00D81A1C">
        <w:rPr>
          <w:color w:val="000000"/>
          <w:sz w:val="20"/>
          <w:szCs w:val="20"/>
        </w:rPr>
        <w:t>measures the anchor SSB to determine cell level quality</w:t>
      </w:r>
      <w:r w:rsidR="004530B4" w:rsidRPr="00D81A1C">
        <w:rPr>
          <w:color w:val="000000"/>
          <w:sz w:val="20"/>
          <w:szCs w:val="20"/>
        </w:rPr>
        <w:t xml:space="preserve">. </w:t>
      </w:r>
      <w:r w:rsidR="00FB33E0" w:rsidRPr="00D81A1C">
        <w:rPr>
          <w:color w:val="000000"/>
          <w:sz w:val="20"/>
          <w:szCs w:val="20"/>
        </w:rPr>
        <w:t xml:space="preserve">After the </w:t>
      </w:r>
      <w:proofErr w:type="spellStart"/>
      <w:r w:rsidR="00FB33E0" w:rsidRPr="00D81A1C">
        <w:rPr>
          <w:color w:val="000000"/>
          <w:sz w:val="20"/>
          <w:szCs w:val="20"/>
        </w:rPr>
        <w:t>SCell</w:t>
      </w:r>
      <w:proofErr w:type="spellEnd"/>
      <w:r w:rsidR="00FB33E0" w:rsidRPr="00D81A1C">
        <w:rPr>
          <w:color w:val="000000"/>
          <w:sz w:val="20"/>
          <w:szCs w:val="20"/>
        </w:rPr>
        <w:t xml:space="preserve"> is added, network can further configure UE to measure other spectrums. </w:t>
      </w:r>
      <w:r w:rsidR="003709D3" w:rsidRPr="00D81A1C">
        <w:rPr>
          <w:color w:val="000000"/>
          <w:sz w:val="20"/>
          <w:szCs w:val="20"/>
        </w:rPr>
        <w:t xml:space="preserve">Based on UE report </w:t>
      </w:r>
      <w:r w:rsidR="003859C7" w:rsidRPr="00D81A1C">
        <w:rPr>
          <w:color w:val="000000"/>
          <w:sz w:val="20"/>
          <w:szCs w:val="20"/>
        </w:rPr>
        <w:t>network can add and activate corresponding spectrum</w:t>
      </w:r>
      <w:r w:rsidR="00387DEC" w:rsidRPr="00D81A1C">
        <w:rPr>
          <w:color w:val="000000"/>
          <w:sz w:val="20"/>
          <w:szCs w:val="20"/>
        </w:rPr>
        <w:t xml:space="preserve"> in the same </w:t>
      </w:r>
      <w:proofErr w:type="spellStart"/>
      <w:r w:rsidR="00387DEC" w:rsidRPr="00D81A1C">
        <w:rPr>
          <w:color w:val="000000"/>
          <w:sz w:val="20"/>
          <w:szCs w:val="20"/>
        </w:rPr>
        <w:t>SCell</w:t>
      </w:r>
      <w:proofErr w:type="spellEnd"/>
      <w:r w:rsidR="00387DEC" w:rsidRPr="00D81A1C">
        <w:rPr>
          <w:color w:val="000000"/>
          <w:sz w:val="20"/>
          <w:szCs w:val="20"/>
        </w:rPr>
        <w:t>.</w:t>
      </w:r>
      <w:r w:rsidR="002F1B12" w:rsidRPr="00D81A1C">
        <w:rPr>
          <w:color w:val="000000"/>
          <w:sz w:val="20"/>
          <w:szCs w:val="20"/>
        </w:rPr>
        <w:t xml:space="preserve"> Some signaling update is expected to support the new procedure.</w:t>
      </w:r>
    </w:p>
    <w:p w14:paraId="32945639" w14:textId="68A2C2FE" w:rsidR="00BF24C0" w:rsidRDefault="003859C7" w:rsidP="009E1B5E">
      <w:pPr>
        <w:autoSpaceDE w:val="0"/>
        <w:autoSpaceDN w:val="0"/>
        <w:adjustRightInd w:val="0"/>
        <w:jc w:val="both"/>
        <w:rPr>
          <w:color w:val="000000"/>
          <w:sz w:val="20"/>
          <w:szCs w:val="20"/>
        </w:rPr>
      </w:pPr>
      <w:r>
        <w:rPr>
          <w:color w:val="000000"/>
          <w:sz w:val="20"/>
          <w:szCs w:val="20"/>
        </w:rPr>
        <w:t xml:space="preserve"> </w:t>
      </w:r>
    </w:p>
    <w:p w14:paraId="0E2C678C" w14:textId="1CFF7D02" w:rsidR="00CF7615" w:rsidRDefault="00BF24C0" w:rsidP="00220764">
      <w:pPr>
        <w:autoSpaceDE w:val="0"/>
        <w:autoSpaceDN w:val="0"/>
        <w:adjustRightInd w:val="0"/>
        <w:jc w:val="center"/>
        <w:rPr>
          <w:color w:val="000000"/>
          <w:sz w:val="20"/>
          <w:szCs w:val="20"/>
        </w:rPr>
      </w:pPr>
      <w:r w:rsidRPr="00BF24C0">
        <w:rPr>
          <w:noProof/>
          <w:color w:val="000000"/>
          <w:sz w:val="20"/>
          <w:szCs w:val="20"/>
        </w:rPr>
        <w:drawing>
          <wp:inline distT="0" distB="0" distL="0" distR="0" wp14:anchorId="4C225B2E" wp14:editId="7E1944D2">
            <wp:extent cx="931611" cy="2207173"/>
            <wp:effectExtent l="0" t="0" r="0" b="3175"/>
            <wp:docPr id="187680935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809351" name="Picture 1" descr="A screenshot of a cell phone&#10;&#10;Description automatically generated"/>
                    <pic:cNvPicPr/>
                  </pic:nvPicPr>
                  <pic:blipFill>
                    <a:blip r:embed="rId12"/>
                    <a:stretch>
                      <a:fillRect/>
                    </a:stretch>
                  </pic:blipFill>
                  <pic:spPr>
                    <a:xfrm>
                      <a:off x="0" y="0"/>
                      <a:ext cx="959838" cy="2274048"/>
                    </a:xfrm>
                    <a:prstGeom prst="rect">
                      <a:avLst/>
                    </a:prstGeom>
                  </pic:spPr>
                </pic:pic>
              </a:graphicData>
            </a:graphic>
          </wp:inline>
        </w:drawing>
      </w:r>
    </w:p>
    <w:p w14:paraId="27D3863D" w14:textId="4EA795D8" w:rsidR="00FB3AFD" w:rsidRDefault="00AC675E" w:rsidP="009E1B5E">
      <w:pPr>
        <w:autoSpaceDE w:val="0"/>
        <w:autoSpaceDN w:val="0"/>
        <w:adjustRightInd w:val="0"/>
        <w:jc w:val="both"/>
        <w:rPr>
          <w:color w:val="000000"/>
          <w:sz w:val="20"/>
          <w:szCs w:val="20"/>
        </w:rPr>
      </w:pPr>
      <w:r>
        <w:rPr>
          <w:color w:val="000000"/>
          <w:sz w:val="20"/>
          <w:szCs w:val="20"/>
        </w:rPr>
        <w:t xml:space="preserve"> </w:t>
      </w:r>
    </w:p>
    <w:p w14:paraId="1EE88BDD" w14:textId="77777777" w:rsidR="00FB3AFD" w:rsidRDefault="00FB3AFD" w:rsidP="009E1B5E">
      <w:pPr>
        <w:autoSpaceDE w:val="0"/>
        <w:autoSpaceDN w:val="0"/>
        <w:adjustRightInd w:val="0"/>
        <w:jc w:val="both"/>
        <w:rPr>
          <w:color w:val="000000"/>
          <w:sz w:val="20"/>
          <w:szCs w:val="20"/>
        </w:rPr>
      </w:pPr>
    </w:p>
    <w:p w14:paraId="628D4321" w14:textId="77777777" w:rsidR="00BF24C0" w:rsidRDefault="00BF24C0" w:rsidP="009E1B5E">
      <w:pPr>
        <w:autoSpaceDE w:val="0"/>
        <w:autoSpaceDN w:val="0"/>
        <w:adjustRightInd w:val="0"/>
        <w:jc w:val="both"/>
        <w:rPr>
          <w:color w:val="000000"/>
          <w:sz w:val="20"/>
          <w:szCs w:val="20"/>
        </w:rPr>
      </w:pPr>
    </w:p>
    <w:p w14:paraId="3F08DAF6" w14:textId="77777777" w:rsidR="00BF24C0" w:rsidRDefault="00BF24C0" w:rsidP="009E1B5E">
      <w:pPr>
        <w:autoSpaceDE w:val="0"/>
        <w:autoSpaceDN w:val="0"/>
        <w:adjustRightInd w:val="0"/>
        <w:jc w:val="both"/>
        <w:rPr>
          <w:color w:val="000000"/>
          <w:sz w:val="20"/>
          <w:szCs w:val="20"/>
        </w:rPr>
      </w:pPr>
    </w:p>
    <w:p w14:paraId="34C99636" w14:textId="77777777" w:rsidR="008E7986" w:rsidRDefault="008E7986" w:rsidP="008E7986">
      <w:pPr>
        <w:pStyle w:val="Heading1"/>
      </w:pPr>
      <w:r>
        <w:t>3</w:t>
      </w:r>
      <w:r>
        <w:tab/>
        <w:t>Conclusions</w:t>
      </w:r>
    </w:p>
    <w:p w14:paraId="6F3027FC" w14:textId="1A612831"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w:t>
      </w:r>
      <w:r w:rsidR="00A91EAD">
        <w:rPr>
          <w:sz w:val="20"/>
          <w:szCs w:val="20"/>
        </w:rPr>
        <w:t>.</w:t>
      </w:r>
    </w:p>
    <w:p w14:paraId="008FBF47" w14:textId="77777777" w:rsidR="004C15C7" w:rsidRDefault="004C15C7" w:rsidP="00300BA9">
      <w:pPr>
        <w:rPr>
          <w:sz w:val="20"/>
          <w:szCs w:val="20"/>
        </w:rPr>
      </w:pPr>
    </w:p>
    <w:p w14:paraId="5DD6CA2F" w14:textId="77777777" w:rsidR="00CC794E" w:rsidRDefault="00CC794E" w:rsidP="00CC794E">
      <w:pPr>
        <w:spacing w:before="100" w:beforeAutospacing="1" w:after="100"/>
        <w:rPr>
          <w:b/>
          <w:bCs/>
          <w:i/>
          <w:iCs/>
          <w:sz w:val="20"/>
          <w:szCs w:val="20"/>
        </w:rPr>
      </w:pPr>
      <w:r w:rsidRPr="004E0E90">
        <w:rPr>
          <w:b/>
          <w:bCs/>
          <w:i/>
          <w:iCs/>
          <w:sz w:val="20"/>
          <w:szCs w:val="20"/>
        </w:rPr>
        <w:t xml:space="preserve">Proposal 1: </w:t>
      </w:r>
      <w:r>
        <w:rPr>
          <w:b/>
          <w:bCs/>
          <w:i/>
          <w:iCs/>
          <w:sz w:val="20"/>
          <w:szCs w:val="20"/>
        </w:rPr>
        <w:t>Regarding the scope, there are two options. Option 2 is preferred pending RAN decision.</w:t>
      </w:r>
    </w:p>
    <w:p w14:paraId="1417608B" w14:textId="77777777" w:rsidR="00CC794E" w:rsidRPr="00395712" w:rsidRDefault="00CC794E" w:rsidP="00CC794E">
      <w:pPr>
        <w:pStyle w:val="ListParagraph"/>
        <w:numPr>
          <w:ilvl w:val="0"/>
          <w:numId w:val="41"/>
        </w:numPr>
        <w:spacing w:before="100" w:beforeAutospacing="1" w:after="100"/>
        <w:rPr>
          <w:b/>
          <w:bCs/>
          <w:i/>
          <w:iCs/>
          <w:color w:val="000000"/>
          <w:sz w:val="20"/>
          <w:szCs w:val="20"/>
        </w:rPr>
      </w:pPr>
      <w:r w:rsidRPr="00395712">
        <w:rPr>
          <w:b/>
          <w:bCs/>
          <w:i/>
          <w:iCs/>
          <w:color w:val="000000"/>
          <w:sz w:val="20"/>
          <w:szCs w:val="20"/>
        </w:rPr>
        <w:t xml:space="preserve">Option 1: The study is focused on Case 1 only following the scope of the SI. </w:t>
      </w:r>
    </w:p>
    <w:p w14:paraId="5FDF6473" w14:textId="77777777" w:rsidR="00CC794E" w:rsidRPr="00395712" w:rsidRDefault="00CC794E" w:rsidP="00CC794E">
      <w:pPr>
        <w:pStyle w:val="ListParagraph"/>
        <w:numPr>
          <w:ilvl w:val="0"/>
          <w:numId w:val="41"/>
        </w:numPr>
        <w:spacing w:before="100" w:beforeAutospacing="1" w:after="100"/>
        <w:rPr>
          <w:b/>
          <w:bCs/>
          <w:i/>
          <w:iCs/>
          <w:color w:val="000000"/>
          <w:sz w:val="20"/>
          <w:szCs w:val="20"/>
        </w:rPr>
      </w:pPr>
      <w:r w:rsidRPr="00395712">
        <w:rPr>
          <w:b/>
          <w:bCs/>
          <w:i/>
          <w:iCs/>
          <w:color w:val="000000"/>
          <w:sz w:val="20"/>
          <w:szCs w:val="20"/>
        </w:rPr>
        <w:t>Option 2: The study is focused on Case 1 for the time being. Meanwhile, we can request a revision of the scope in Dec. RAN plenary to include Case 2 and Case 3.</w:t>
      </w:r>
    </w:p>
    <w:p w14:paraId="12579D56" w14:textId="77777777" w:rsidR="009301F2" w:rsidRDefault="009301F2" w:rsidP="009301F2">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sidRPr="004B3F2B">
        <w:rPr>
          <w:b/>
          <w:bCs/>
          <w:i/>
          <w:iCs/>
          <w:sz w:val="20"/>
          <w:szCs w:val="20"/>
        </w:rPr>
        <w:t xml:space="preserve">Regarding the options for reducing number of Rx chains for DL non-contiguous CCs, </w:t>
      </w:r>
      <w:r>
        <w:rPr>
          <w:b/>
          <w:bCs/>
          <w:i/>
          <w:iCs/>
          <w:sz w:val="20"/>
          <w:szCs w:val="20"/>
        </w:rPr>
        <w:t>Option 1 is agreeable and the intention of Option 2 needs further clarification.</w:t>
      </w:r>
    </w:p>
    <w:p w14:paraId="7EC53F0E" w14:textId="77777777" w:rsidR="009301F2" w:rsidRDefault="009301F2" w:rsidP="009301F2">
      <w:pPr>
        <w:spacing w:before="100" w:beforeAutospacing="1" w:after="100"/>
        <w:rPr>
          <w:b/>
          <w:bCs/>
          <w:i/>
          <w:iCs/>
          <w:sz w:val="20"/>
          <w:szCs w:val="20"/>
        </w:rPr>
      </w:pPr>
      <w:r w:rsidRPr="0033718A">
        <w:rPr>
          <w:b/>
          <w:bCs/>
          <w:i/>
          <w:iCs/>
          <w:sz w:val="20"/>
          <w:szCs w:val="20"/>
        </w:rPr>
        <w:t>Proposal</w:t>
      </w:r>
      <w:r>
        <w:rPr>
          <w:b/>
          <w:bCs/>
          <w:i/>
          <w:iCs/>
          <w:sz w:val="20"/>
          <w:szCs w:val="20"/>
        </w:rPr>
        <w:t xml:space="preserve"> 3</w:t>
      </w:r>
      <w:r w:rsidRPr="0033718A">
        <w:rPr>
          <w:b/>
          <w:bCs/>
          <w:i/>
          <w:iCs/>
          <w:sz w:val="20"/>
          <w:szCs w:val="20"/>
        </w:rPr>
        <w:t>: It is proposed to leave it to implementation whether a single FFT is expected to cover the fragmented carriers or separate FFTs are expected for each fragmented carrier.</w:t>
      </w:r>
    </w:p>
    <w:p w14:paraId="3B93F32A" w14:textId="77777777" w:rsidR="009301F2" w:rsidRPr="00030FA1" w:rsidRDefault="009301F2" w:rsidP="009301F2">
      <w:pPr>
        <w:spacing w:before="100" w:beforeAutospacing="1" w:after="100"/>
        <w:rPr>
          <w:b/>
          <w:bCs/>
          <w:i/>
          <w:iCs/>
          <w:sz w:val="20"/>
          <w:szCs w:val="20"/>
        </w:rPr>
      </w:pPr>
      <w:r w:rsidRPr="00030FA1">
        <w:rPr>
          <w:b/>
          <w:bCs/>
          <w:i/>
          <w:iCs/>
          <w:sz w:val="20"/>
          <w:szCs w:val="20"/>
        </w:rPr>
        <w:t>Proposal</w:t>
      </w:r>
      <w:r>
        <w:rPr>
          <w:b/>
          <w:bCs/>
          <w:i/>
          <w:iCs/>
          <w:sz w:val="20"/>
          <w:szCs w:val="20"/>
        </w:rPr>
        <w:t xml:space="preserve"> 4</w:t>
      </w:r>
      <w:r w:rsidRPr="00030FA1">
        <w:rPr>
          <w:b/>
          <w:bCs/>
          <w:i/>
          <w:iCs/>
          <w:sz w:val="20"/>
          <w:szCs w:val="20"/>
        </w:rPr>
        <w:t>: From UE perspective, to enable the use of common RF chain</w:t>
      </w:r>
      <w:r>
        <w:rPr>
          <w:b/>
          <w:bCs/>
          <w:i/>
          <w:iCs/>
          <w:sz w:val="20"/>
          <w:szCs w:val="20"/>
        </w:rPr>
        <w:t xml:space="preserve">, </w:t>
      </w:r>
      <w:r w:rsidRPr="00030FA1">
        <w:rPr>
          <w:b/>
          <w:bCs/>
          <w:i/>
          <w:iCs/>
          <w:sz w:val="20"/>
          <w:szCs w:val="20"/>
        </w:rPr>
        <w:t xml:space="preserve">it is proposed to </w:t>
      </w:r>
      <w:r>
        <w:rPr>
          <w:b/>
          <w:bCs/>
          <w:i/>
          <w:iCs/>
          <w:sz w:val="20"/>
          <w:szCs w:val="20"/>
        </w:rPr>
        <w:t xml:space="preserve">reuse the 6dB PSD difference </w:t>
      </w:r>
      <w:r w:rsidRPr="00030FA1">
        <w:rPr>
          <w:b/>
          <w:bCs/>
          <w:i/>
          <w:iCs/>
          <w:sz w:val="20"/>
          <w:szCs w:val="20"/>
        </w:rPr>
        <w:t>between carriers of co-located adjacent channel operators</w:t>
      </w:r>
      <w:r>
        <w:rPr>
          <w:b/>
          <w:bCs/>
          <w:i/>
          <w:iCs/>
          <w:sz w:val="20"/>
          <w:szCs w:val="20"/>
        </w:rPr>
        <w:t>.</w:t>
      </w:r>
    </w:p>
    <w:p w14:paraId="3E7CC42C" w14:textId="77777777" w:rsidR="009301F2" w:rsidRDefault="009301F2" w:rsidP="009301F2">
      <w:pPr>
        <w:spacing w:before="100" w:beforeAutospacing="1" w:after="100"/>
        <w:rPr>
          <w:b/>
          <w:bCs/>
          <w:i/>
          <w:iCs/>
          <w:sz w:val="20"/>
          <w:szCs w:val="20"/>
        </w:rPr>
      </w:pPr>
      <w:r w:rsidRPr="004E0E90">
        <w:rPr>
          <w:b/>
          <w:bCs/>
          <w:i/>
          <w:iCs/>
          <w:sz w:val="20"/>
          <w:szCs w:val="20"/>
        </w:rPr>
        <w:t xml:space="preserve">Proposal </w:t>
      </w:r>
      <w:r>
        <w:rPr>
          <w:b/>
          <w:bCs/>
          <w:i/>
          <w:iCs/>
          <w:sz w:val="20"/>
          <w:szCs w:val="20"/>
        </w:rPr>
        <w:t>5</w:t>
      </w:r>
      <w:r w:rsidRPr="004E0E90">
        <w:rPr>
          <w:b/>
          <w:bCs/>
          <w:i/>
          <w:iCs/>
          <w:sz w:val="20"/>
          <w:szCs w:val="20"/>
        </w:rPr>
        <w:t xml:space="preserve">: </w:t>
      </w:r>
      <w:r w:rsidRPr="005B65BA">
        <w:rPr>
          <w:b/>
          <w:bCs/>
          <w:i/>
          <w:iCs/>
          <w:sz w:val="20"/>
          <w:szCs w:val="20"/>
        </w:rPr>
        <w:t>To allow the UE to support the two non-contig</w:t>
      </w:r>
      <w:r>
        <w:rPr>
          <w:b/>
          <w:bCs/>
          <w:i/>
          <w:iCs/>
          <w:sz w:val="20"/>
          <w:szCs w:val="20"/>
        </w:rPr>
        <w:t>u</w:t>
      </w:r>
      <w:r w:rsidRPr="005B65BA">
        <w:rPr>
          <w:b/>
          <w:bCs/>
          <w:i/>
          <w:iCs/>
          <w:sz w:val="20"/>
          <w:szCs w:val="20"/>
        </w:rPr>
        <w:t xml:space="preserve">ous CCs with common/shared RF chains instead of separate RF chains, the blocker power level in the gap needs to be at </w:t>
      </w:r>
      <w:r>
        <w:rPr>
          <w:b/>
          <w:bCs/>
          <w:i/>
          <w:iCs/>
          <w:sz w:val="20"/>
          <w:szCs w:val="20"/>
        </w:rPr>
        <w:t>a</w:t>
      </w:r>
      <w:r w:rsidRPr="005B65BA">
        <w:rPr>
          <w:b/>
          <w:bCs/>
          <w:i/>
          <w:iCs/>
          <w:sz w:val="20"/>
          <w:szCs w:val="20"/>
        </w:rPr>
        <w:t>n appropriate level that the UE can handle with common RF chain.</w:t>
      </w:r>
      <w:r>
        <w:rPr>
          <w:b/>
          <w:bCs/>
          <w:i/>
          <w:iCs/>
          <w:sz w:val="20"/>
          <w:szCs w:val="20"/>
        </w:rPr>
        <w:t xml:space="preserve"> </w:t>
      </w:r>
    </w:p>
    <w:p w14:paraId="0A6F5CEC" w14:textId="77777777" w:rsidR="009301F2" w:rsidRPr="00DF05B0" w:rsidRDefault="009301F2" w:rsidP="009301F2">
      <w:pPr>
        <w:spacing w:before="100" w:beforeAutospacing="1" w:after="100"/>
        <w:rPr>
          <w:b/>
          <w:bCs/>
          <w:i/>
          <w:iCs/>
          <w:sz w:val="20"/>
          <w:szCs w:val="20"/>
        </w:rPr>
      </w:pPr>
      <w:r w:rsidRPr="00DF05B0">
        <w:rPr>
          <w:b/>
          <w:bCs/>
          <w:i/>
          <w:iCs/>
          <w:sz w:val="20"/>
          <w:szCs w:val="20"/>
        </w:rPr>
        <w:t>Proposal</w:t>
      </w:r>
      <w:r>
        <w:rPr>
          <w:b/>
          <w:bCs/>
          <w:i/>
          <w:iCs/>
          <w:sz w:val="20"/>
          <w:szCs w:val="20"/>
        </w:rPr>
        <w:t xml:space="preserve"> 6</w:t>
      </w:r>
      <w:r w:rsidRPr="00DF05B0">
        <w:rPr>
          <w:b/>
          <w:bCs/>
          <w:i/>
          <w:iCs/>
          <w:sz w:val="20"/>
          <w:szCs w:val="20"/>
        </w:rPr>
        <w:t xml:space="preserve">: </w:t>
      </w:r>
      <w:r>
        <w:rPr>
          <w:b/>
          <w:bCs/>
          <w:i/>
          <w:iCs/>
          <w:sz w:val="20"/>
          <w:szCs w:val="20"/>
        </w:rPr>
        <w:t xml:space="preserve">In terms of signaling, several </w:t>
      </w:r>
      <w:r w:rsidRPr="00DF05B0">
        <w:rPr>
          <w:b/>
          <w:bCs/>
          <w:i/>
          <w:iCs/>
          <w:sz w:val="20"/>
          <w:szCs w:val="20"/>
        </w:rPr>
        <w:t>alternatives can be considered for band combination reporting for UE capable of Rx chain sharing</w:t>
      </w:r>
    </w:p>
    <w:p w14:paraId="6D4C75DD" w14:textId="77777777" w:rsidR="009301F2" w:rsidRDefault="009301F2" w:rsidP="009301F2">
      <w:pPr>
        <w:pStyle w:val="ListParagraph"/>
        <w:numPr>
          <w:ilvl w:val="0"/>
          <w:numId w:val="40"/>
        </w:numPr>
        <w:spacing w:before="100" w:beforeAutospacing="1" w:after="100"/>
        <w:rPr>
          <w:b/>
          <w:bCs/>
          <w:i/>
          <w:iCs/>
          <w:sz w:val="20"/>
          <w:szCs w:val="20"/>
        </w:rPr>
      </w:pPr>
      <w:r w:rsidRPr="00A17CD8">
        <w:rPr>
          <w:b/>
          <w:bCs/>
          <w:i/>
          <w:iCs/>
          <w:sz w:val="20"/>
          <w:szCs w:val="20"/>
        </w:rPr>
        <w:t>Alt. 1: Legacy band combination reporting scheme + Rx sharing capability indication</w:t>
      </w:r>
    </w:p>
    <w:p w14:paraId="29529EF7" w14:textId="77777777" w:rsidR="009301F2" w:rsidRPr="00A17CD8" w:rsidRDefault="009301F2" w:rsidP="009301F2">
      <w:pPr>
        <w:pStyle w:val="ListParagraph"/>
        <w:numPr>
          <w:ilvl w:val="0"/>
          <w:numId w:val="40"/>
        </w:numPr>
        <w:spacing w:before="100" w:beforeAutospacing="1" w:after="100"/>
        <w:rPr>
          <w:b/>
          <w:bCs/>
          <w:i/>
          <w:iCs/>
          <w:sz w:val="20"/>
          <w:szCs w:val="20"/>
        </w:rPr>
      </w:pPr>
      <w:r>
        <w:rPr>
          <w:b/>
          <w:bCs/>
          <w:i/>
          <w:iCs/>
          <w:sz w:val="20"/>
          <w:szCs w:val="20"/>
        </w:rPr>
        <w:t>Alt. 2: Band combination capability update with the supported number of CCs</w:t>
      </w:r>
    </w:p>
    <w:p w14:paraId="61A930FC" w14:textId="77777777" w:rsidR="009301F2" w:rsidRPr="00A17CD8" w:rsidRDefault="009301F2" w:rsidP="009301F2">
      <w:pPr>
        <w:pStyle w:val="ListParagraph"/>
        <w:numPr>
          <w:ilvl w:val="0"/>
          <w:numId w:val="40"/>
        </w:numPr>
        <w:spacing w:before="100" w:beforeAutospacing="1" w:after="100"/>
        <w:rPr>
          <w:b/>
          <w:bCs/>
          <w:i/>
          <w:iCs/>
          <w:sz w:val="20"/>
          <w:szCs w:val="20"/>
        </w:rPr>
      </w:pPr>
      <w:r w:rsidRPr="00A17CD8">
        <w:rPr>
          <w:b/>
          <w:bCs/>
          <w:i/>
          <w:iCs/>
          <w:sz w:val="20"/>
          <w:szCs w:val="20"/>
        </w:rPr>
        <w:t xml:space="preserve">Alt. </w:t>
      </w:r>
      <w:r>
        <w:rPr>
          <w:b/>
          <w:bCs/>
          <w:i/>
          <w:iCs/>
          <w:sz w:val="20"/>
          <w:szCs w:val="20"/>
        </w:rPr>
        <w:t>3</w:t>
      </w:r>
      <w:r w:rsidRPr="00A17CD8">
        <w:rPr>
          <w:b/>
          <w:bCs/>
          <w:i/>
          <w:iCs/>
          <w:sz w:val="20"/>
          <w:szCs w:val="20"/>
        </w:rPr>
        <w:t>: New band combination definition e.g. CA_F_n25(2A) + new set of signaling</w:t>
      </w:r>
    </w:p>
    <w:p w14:paraId="24285D67" w14:textId="77777777" w:rsidR="009301F2" w:rsidRPr="0033718A" w:rsidRDefault="009301F2" w:rsidP="009301F2">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p w14:paraId="10335E92" w14:textId="280DC156" w:rsidR="00821AEF" w:rsidRDefault="00C93538" w:rsidP="00276EE4">
      <w:pPr>
        <w:pStyle w:val="EX"/>
        <w:rPr>
          <w:sz w:val="20"/>
          <w:szCs w:val="20"/>
        </w:rPr>
      </w:pPr>
      <w:bookmarkStart w:id="14" w:name="_Ref31651909"/>
      <w:bookmarkStart w:id="15" w:name="_Ref13820109"/>
      <w:r w:rsidRPr="00C93538">
        <w:rPr>
          <w:sz w:val="20"/>
          <w:szCs w:val="20"/>
        </w:rPr>
        <w:t>RP‑24</w:t>
      </w:r>
      <w:r w:rsidR="00650EB8">
        <w:rPr>
          <w:sz w:val="20"/>
          <w:szCs w:val="20"/>
        </w:rPr>
        <w:t>1669</w:t>
      </w:r>
      <w:r w:rsidR="00821AEF" w:rsidRPr="00D857BA">
        <w:rPr>
          <w:sz w:val="20"/>
          <w:szCs w:val="20"/>
        </w:rPr>
        <w:t>, "</w:t>
      </w:r>
      <w:r w:rsidR="00650EB8" w:rsidRPr="00650EB8">
        <w:rPr>
          <w:sz w:val="20"/>
          <w:szCs w:val="20"/>
        </w:rPr>
        <w:t>New SID: Study on NR FR1 DL Fragmented Carriers</w:t>
      </w:r>
      <w:r>
        <w:rPr>
          <w:sz w:val="20"/>
          <w:szCs w:val="20"/>
        </w:rPr>
        <w:t>,</w:t>
      </w:r>
      <w:r w:rsidR="00821AEF" w:rsidRPr="00D857BA">
        <w:rPr>
          <w:sz w:val="20"/>
          <w:szCs w:val="20"/>
        </w:rPr>
        <w:t xml:space="preserve">" </w:t>
      </w:r>
      <w:bookmarkEnd w:id="14"/>
      <w:r w:rsidR="00650EB8" w:rsidRPr="00650EB8">
        <w:rPr>
          <w:sz w:val="20"/>
          <w:szCs w:val="20"/>
        </w:rPr>
        <w:t>MediaTek</w:t>
      </w:r>
    </w:p>
    <w:p w14:paraId="1516CE1A" w14:textId="77777777" w:rsidR="004C1771" w:rsidRPr="004C1771" w:rsidRDefault="004C1771" w:rsidP="004C1771">
      <w:pPr>
        <w:pStyle w:val="EX"/>
        <w:rPr>
          <w:sz w:val="20"/>
          <w:szCs w:val="20"/>
        </w:rPr>
      </w:pPr>
      <w:r w:rsidRPr="004C1771">
        <w:rPr>
          <w:sz w:val="20"/>
          <w:szCs w:val="20"/>
        </w:rPr>
        <w:t xml:space="preserve">R4-2414311, "WF on fragmented DL </w:t>
      </w:r>
      <w:proofErr w:type="gramStart"/>
      <w:r w:rsidRPr="004C1771">
        <w:rPr>
          <w:sz w:val="20"/>
          <w:szCs w:val="20"/>
        </w:rPr>
        <w:t>carriers</w:t>
      </w:r>
      <w:proofErr w:type="gramEnd"/>
      <w:r w:rsidRPr="004C1771">
        <w:rPr>
          <w:sz w:val="20"/>
          <w:szCs w:val="20"/>
        </w:rPr>
        <w:t xml:space="preserve"> study," MediaTek</w:t>
      </w:r>
    </w:p>
    <w:p w14:paraId="50A569BD" w14:textId="6265C588" w:rsidR="00BC4103" w:rsidRDefault="009D181E" w:rsidP="002B7293">
      <w:pPr>
        <w:pStyle w:val="EX"/>
        <w:rPr>
          <w:sz w:val="20"/>
          <w:szCs w:val="20"/>
        </w:rPr>
      </w:pPr>
      <w:r w:rsidRPr="00C93538">
        <w:rPr>
          <w:sz w:val="20"/>
          <w:szCs w:val="20"/>
        </w:rPr>
        <w:t>R</w:t>
      </w:r>
      <w:r w:rsidR="002B7293">
        <w:rPr>
          <w:sz w:val="20"/>
          <w:szCs w:val="20"/>
        </w:rPr>
        <w:t>4-24</w:t>
      </w:r>
      <w:r w:rsidRPr="00D857BA">
        <w:rPr>
          <w:sz w:val="20"/>
          <w:szCs w:val="20"/>
        </w:rPr>
        <w:t>, "</w:t>
      </w:r>
      <w:r w:rsidR="002B7293" w:rsidRPr="002B7293">
        <w:rPr>
          <w:sz w:val="20"/>
          <w:szCs w:val="20"/>
        </w:rPr>
        <w:t>On UE RF requirements for fragmented carriers</w:t>
      </w:r>
      <w:r>
        <w:rPr>
          <w:sz w:val="20"/>
          <w:szCs w:val="20"/>
        </w:rPr>
        <w:t>,</w:t>
      </w:r>
      <w:r w:rsidRPr="00D857BA">
        <w:rPr>
          <w:sz w:val="20"/>
          <w:szCs w:val="20"/>
        </w:rPr>
        <w:t xml:space="preserve">" </w:t>
      </w:r>
      <w:bookmarkEnd w:id="0"/>
      <w:bookmarkEnd w:id="15"/>
      <w:r w:rsidR="002B7293">
        <w:rPr>
          <w:sz w:val="20"/>
          <w:szCs w:val="20"/>
        </w:rPr>
        <w:t>Apple</w:t>
      </w:r>
    </w:p>
    <w:p w14:paraId="6075F754" w14:textId="4894256D" w:rsidR="000C5A3A" w:rsidRPr="009301F2" w:rsidRDefault="000C5A3A" w:rsidP="009301F2">
      <w:pPr>
        <w:pStyle w:val="EX"/>
        <w:rPr>
          <w:sz w:val="20"/>
          <w:szCs w:val="20"/>
        </w:rPr>
      </w:pPr>
      <w:r w:rsidRPr="004C1771">
        <w:rPr>
          <w:sz w:val="20"/>
          <w:szCs w:val="20"/>
        </w:rPr>
        <w:t>R4-241</w:t>
      </w:r>
      <w:r>
        <w:rPr>
          <w:sz w:val="20"/>
          <w:szCs w:val="20"/>
        </w:rPr>
        <w:t>3340</w:t>
      </w:r>
      <w:r w:rsidRPr="004C1771">
        <w:rPr>
          <w:sz w:val="20"/>
          <w:szCs w:val="20"/>
        </w:rPr>
        <w:t>, "</w:t>
      </w:r>
      <w:r w:rsidRPr="000C5A3A">
        <w:rPr>
          <w:sz w:val="20"/>
          <w:szCs w:val="20"/>
        </w:rPr>
        <w:t xml:space="preserve"> Discussion on impacts on UE RF requirements and DL performance for Fragmented Carriers," Nokia</w:t>
      </w:r>
    </w:p>
    <w:sectPr w:rsidR="000C5A3A" w:rsidRPr="009301F2" w:rsidSect="00114E2C">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96648" w14:textId="77777777" w:rsidR="003B79C3" w:rsidRDefault="003B79C3">
      <w:r>
        <w:separator/>
      </w:r>
    </w:p>
  </w:endnote>
  <w:endnote w:type="continuationSeparator" w:id="0">
    <w:p w14:paraId="4CC48503" w14:textId="77777777" w:rsidR="003B79C3" w:rsidRDefault="003B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C2C57" w14:textId="77777777" w:rsidR="003B79C3" w:rsidRDefault="003B79C3">
      <w:r>
        <w:separator/>
      </w:r>
    </w:p>
  </w:footnote>
  <w:footnote w:type="continuationSeparator" w:id="0">
    <w:p w14:paraId="32ECE8F0" w14:textId="77777777" w:rsidR="003B79C3" w:rsidRDefault="003B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5"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3"/>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4"/>
  </w:num>
  <w:num w:numId="10" w16cid:durableId="1583371418">
    <w:abstractNumId w:val="32"/>
  </w:num>
  <w:num w:numId="11" w16cid:durableId="654532386">
    <w:abstractNumId w:val="11"/>
  </w:num>
  <w:num w:numId="12" w16cid:durableId="1304584639">
    <w:abstractNumId w:val="9"/>
  </w:num>
  <w:num w:numId="13" w16cid:durableId="721171787">
    <w:abstractNumId w:val="7"/>
  </w:num>
  <w:num w:numId="14" w16cid:durableId="1592349769">
    <w:abstractNumId w:val="31"/>
  </w:num>
  <w:num w:numId="15" w16cid:durableId="278998918">
    <w:abstractNumId w:val="14"/>
  </w:num>
  <w:num w:numId="16" w16cid:durableId="434713335">
    <w:abstractNumId w:val="29"/>
  </w:num>
  <w:num w:numId="17" w16cid:durableId="1786650561">
    <w:abstractNumId w:val="15"/>
  </w:num>
  <w:num w:numId="18" w16cid:durableId="119229966">
    <w:abstractNumId w:val="6"/>
  </w:num>
  <w:num w:numId="19" w16cid:durableId="773282714">
    <w:abstractNumId w:val="21"/>
  </w:num>
  <w:num w:numId="20" w16cid:durableId="1943295931">
    <w:abstractNumId w:val="1"/>
  </w:num>
  <w:num w:numId="21" w16cid:durableId="721640857">
    <w:abstractNumId w:val="36"/>
  </w:num>
  <w:num w:numId="22" w16cid:durableId="1167212164">
    <w:abstractNumId w:val="37"/>
  </w:num>
  <w:num w:numId="23" w16cid:durableId="240023206">
    <w:abstractNumId w:val="22"/>
  </w:num>
  <w:num w:numId="24" w16cid:durableId="191648044">
    <w:abstractNumId w:val="10"/>
  </w:num>
  <w:num w:numId="25" w16cid:durableId="473066965">
    <w:abstractNumId w:val="20"/>
  </w:num>
  <w:num w:numId="26" w16cid:durableId="1489638411">
    <w:abstractNumId w:val="17"/>
  </w:num>
  <w:num w:numId="27" w16cid:durableId="1422525457">
    <w:abstractNumId w:val="16"/>
  </w:num>
  <w:num w:numId="28" w16cid:durableId="653946618">
    <w:abstractNumId w:val="4"/>
  </w:num>
  <w:num w:numId="29" w16cid:durableId="1543327048">
    <w:abstractNumId w:val="38"/>
  </w:num>
  <w:num w:numId="30" w16cid:durableId="991716118">
    <w:abstractNumId w:val="12"/>
  </w:num>
  <w:num w:numId="31" w16cid:durableId="737675157">
    <w:abstractNumId w:val="13"/>
  </w:num>
  <w:num w:numId="32" w16cid:durableId="526335178">
    <w:abstractNumId w:val="8"/>
  </w:num>
  <w:num w:numId="33" w16cid:durableId="557739517">
    <w:abstractNumId w:val="23"/>
  </w:num>
  <w:num w:numId="34" w16cid:durableId="1264847130">
    <w:abstractNumId w:val="34"/>
  </w:num>
  <w:num w:numId="35" w16cid:durableId="371812856">
    <w:abstractNumId w:val="25"/>
  </w:num>
  <w:num w:numId="36" w16cid:durableId="309526672">
    <w:abstractNumId w:val="28"/>
  </w:num>
  <w:num w:numId="37" w16cid:durableId="1489981921">
    <w:abstractNumId w:val="30"/>
  </w:num>
  <w:num w:numId="38" w16cid:durableId="23479652">
    <w:abstractNumId w:val="26"/>
  </w:num>
  <w:num w:numId="39" w16cid:durableId="1947082175">
    <w:abstractNumId w:val="19"/>
  </w:num>
  <w:num w:numId="40" w16cid:durableId="1614705904">
    <w:abstractNumId w:val="35"/>
  </w:num>
  <w:num w:numId="41" w16cid:durableId="146237977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55A6"/>
    <w:rsid w:val="00077697"/>
    <w:rsid w:val="00080512"/>
    <w:rsid w:val="00090CF5"/>
    <w:rsid w:val="0009500A"/>
    <w:rsid w:val="00096CD8"/>
    <w:rsid w:val="000A365D"/>
    <w:rsid w:val="000A46CB"/>
    <w:rsid w:val="000A6245"/>
    <w:rsid w:val="000A68F3"/>
    <w:rsid w:val="000B4E6A"/>
    <w:rsid w:val="000B7599"/>
    <w:rsid w:val="000C47C3"/>
    <w:rsid w:val="000C5A3A"/>
    <w:rsid w:val="000D21B3"/>
    <w:rsid w:val="000D2AB6"/>
    <w:rsid w:val="000D2C4B"/>
    <w:rsid w:val="000D58AB"/>
    <w:rsid w:val="000D7878"/>
    <w:rsid w:val="000E3702"/>
    <w:rsid w:val="000F1D2A"/>
    <w:rsid w:val="000F3400"/>
    <w:rsid w:val="000F42F7"/>
    <w:rsid w:val="000F4BE8"/>
    <w:rsid w:val="000F5D71"/>
    <w:rsid w:val="00101278"/>
    <w:rsid w:val="00101EB9"/>
    <w:rsid w:val="00104BC6"/>
    <w:rsid w:val="00105FCB"/>
    <w:rsid w:val="00111516"/>
    <w:rsid w:val="00112A20"/>
    <w:rsid w:val="00112D80"/>
    <w:rsid w:val="00114E2C"/>
    <w:rsid w:val="00125033"/>
    <w:rsid w:val="001319D7"/>
    <w:rsid w:val="00133525"/>
    <w:rsid w:val="00134E23"/>
    <w:rsid w:val="00135619"/>
    <w:rsid w:val="00152010"/>
    <w:rsid w:val="00156952"/>
    <w:rsid w:val="001613D8"/>
    <w:rsid w:val="001620A7"/>
    <w:rsid w:val="00162A8A"/>
    <w:rsid w:val="00165302"/>
    <w:rsid w:val="00171166"/>
    <w:rsid w:val="00182F98"/>
    <w:rsid w:val="00183B27"/>
    <w:rsid w:val="00184B43"/>
    <w:rsid w:val="00184CFD"/>
    <w:rsid w:val="0019040A"/>
    <w:rsid w:val="00191964"/>
    <w:rsid w:val="00193F04"/>
    <w:rsid w:val="001A1513"/>
    <w:rsid w:val="001A1B32"/>
    <w:rsid w:val="001A4C42"/>
    <w:rsid w:val="001C0F1F"/>
    <w:rsid w:val="001C21C3"/>
    <w:rsid w:val="001D02C2"/>
    <w:rsid w:val="001D0D15"/>
    <w:rsid w:val="001D3883"/>
    <w:rsid w:val="001D69B8"/>
    <w:rsid w:val="001D7B73"/>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7926"/>
    <w:rsid w:val="00254E0F"/>
    <w:rsid w:val="00255247"/>
    <w:rsid w:val="002557C8"/>
    <w:rsid w:val="00257A99"/>
    <w:rsid w:val="002600B9"/>
    <w:rsid w:val="00260AE3"/>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B2D3F"/>
    <w:rsid w:val="002B378B"/>
    <w:rsid w:val="002B6339"/>
    <w:rsid w:val="002B7293"/>
    <w:rsid w:val="002D16F1"/>
    <w:rsid w:val="002D22D9"/>
    <w:rsid w:val="002D56F3"/>
    <w:rsid w:val="002D6F19"/>
    <w:rsid w:val="002E00EE"/>
    <w:rsid w:val="002E46ED"/>
    <w:rsid w:val="002F1B12"/>
    <w:rsid w:val="002F21F4"/>
    <w:rsid w:val="002F5216"/>
    <w:rsid w:val="002F58B3"/>
    <w:rsid w:val="00300ACF"/>
    <w:rsid w:val="00300BA9"/>
    <w:rsid w:val="00301868"/>
    <w:rsid w:val="00303F37"/>
    <w:rsid w:val="00307031"/>
    <w:rsid w:val="003107C2"/>
    <w:rsid w:val="00313A57"/>
    <w:rsid w:val="003172DC"/>
    <w:rsid w:val="00325D83"/>
    <w:rsid w:val="00331C63"/>
    <w:rsid w:val="003348D2"/>
    <w:rsid w:val="0033606D"/>
    <w:rsid w:val="00336438"/>
    <w:rsid w:val="0033652B"/>
    <w:rsid w:val="0033718A"/>
    <w:rsid w:val="003378AE"/>
    <w:rsid w:val="0034052F"/>
    <w:rsid w:val="00340CDF"/>
    <w:rsid w:val="0034273B"/>
    <w:rsid w:val="00344A73"/>
    <w:rsid w:val="00345425"/>
    <w:rsid w:val="0034735C"/>
    <w:rsid w:val="0035000F"/>
    <w:rsid w:val="003523D8"/>
    <w:rsid w:val="0035462D"/>
    <w:rsid w:val="00357075"/>
    <w:rsid w:val="003650C3"/>
    <w:rsid w:val="0036620E"/>
    <w:rsid w:val="003709D3"/>
    <w:rsid w:val="00370A9A"/>
    <w:rsid w:val="00371558"/>
    <w:rsid w:val="0037264F"/>
    <w:rsid w:val="003765B8"/>
    <w:rsid w:val="0038279A"/>
    <w:rsid w:val="00384F83"/>
    <w:rsid w:val="003859C7"/>
    <w:rsid w:val="00387DEC"/>
    <w:rsid w:val="00390CF7"/>
    <w:rsid w:val="00392980"/>
    <w:rsid w:val="003A0483"/>
    <w:rsid w:val="003B4652"/>
    <w:rsid w:val="003B5868"/>
    <w:rsid w:val="003B662D"/>
    <w:rsid w:val="003B79C3"/>
    <w:rsid w:val="003C0F23"/>
    <w:rsid w:val="003C208D"/>
    <w:rsid w:val="003C3971"/>
    <w:rsid w:val="003C4D69"/>
    <w:rsid w:val="003D12B4"/>
    <w:rsid w:val="003D37E2"/>
    <w:rsid w:val="003D4522"/>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2E80"/>
    <w:rsid w:val="00443B1F"/>
    <w:rsid w:val="00445952"/>
    <w:rsid w:val="00447B7C"/>
    <w:rsid w:val="00447E12"/>
    <w:rsid w:val="00451EEC"/>
    <w:rsid w:val="004530B4"/>
    <w:rsid w:val="00455635"/>
    <w:rsid w:val="00472C04"/>
    <w:rsid w:val="004735B3"/>
    <w:rsid w:val="00474601"/>
    <w:rsid w:val="004774CE"/>
    <w:rsid w:val="0048182A"/>
    <w:rsid w:val="004826A9"/>
    <w:rsid w:val="004837BD"/>
    <w:rsid w:val="00495DAE"/>
    <w:rsid w:val="004A603D"/>
    <w:rsid w:val="004A6B02"/>
    <w:rsid w:val="004B0ECB"/>
    <w:rsid w:val="004B3F2B"/>
    <w:rsid w:val="004C15C7"/>
    <w:rsid w:val="004C1601"/>
    <w:rsid w:val="004C1771"/>
    <w:rsid w:val="004C21DF"/>
    <w:rsid w:val="004C37D0"/>
    <w:rsid w:val="004C5265"/>
    <w:rsid w:val="004D3578"/>
    <w:rsid w:val="004D6380"/>
    <w:rsid w:val="004E0E90"/>
    <w:rsid w:val="004E213A"/>
    <w:rsid w:val="004E3C97"/>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244D"/>
    <w:rsid w:val="0052286C"/>
    <w:rsid w:val="00525B0E"/>
    <w:rsid w:val="005273BE"/>
    <w:rsid w:val="005274EC"/>
    <w:rsid w:val="005324C2"/>
    <w:rsid w:val="0053388B"/>
    <w:rsid w:val="00535773"/>
    <w:rsid w:val="00537C54"/>
    <w:rsid w:val="00542052"/>
    <w:rsid w:val="00543E6C"/>
    <w:rsid w:val="00551342"/>
    <w:rsid w:val="00554CE1"/>
    <w:rsid w:val="00555534"/>
    <w:rsid w:val="0056116C"/>
    <w:rsid w:val="00562380"/>
    <w:rsid w:val="00562844"/>
    <w:rsid w:val="00565087"/>
    <w:rsid w:val="005714C9"/>
    <w:rsid w:val="0057261C"/>
    <w:rsid w:val="00572E14"/>
    <w:rsid w:val="00582450"/>
    <w:rsid w:val="005930E6"/>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59B5"/>
    <w:rsid w:val="00647114"/>
    <w:rsid w:val="00650EB8"/>
    <w:rsid w:val="006552DD"/>
    <w:rsid w:val="00662A4B"/>
    <w:rsid w:val="0066731C"/>
    <w:rsid w:val="006753FB"/>
    <w:rsid w:val="006759E6"/>
    <w:rsid w:val="00675E2D"/>
    <w:rsid w:val="00691B96"/>
    <w:rsid w:val="006A0145"/>
    <w:rsid w:val="006A016F"/>
    <w:rsid w:val="006A1291"/>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3AD9"/>
    <w:rsid w:val="00713C44"/>
    <w:rsid w:val="00723A44"/>
    <w:rsid w:val="00723FA4"/>
    <w:rsid w:val="00726A73"/>
    <w:rsid w:val="007278E6"/>
    <w:rsid w:val="00734A5B"/>
    <w:rsid w:val="0074026F"/>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5172"/>
    <w:rsid w:val="007D53B3"/>
    <w:rsid w:val="007D5A1C"/>
    <w:rsid w:val="007D7D88"/>
    <w:rsid w:val="007E2E4B"/>
    <w:rsid w:val="007E3EB8"/>
    <w:rsid w:val="007E6293"/>
    <w:rsid w:val="007F0F4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66FC"/>
    <w:rsid w:val="00841896"/>
    <w:rsid w:val="0084389E"/>
    <w:rsid w:val="00843B15"/>
    <w:rsid w:val="00854DFA"/>
    <w:rsid w:val="008559EF"/>
    <w:rsid w:val="008569D0"/>
    <w:rsid w:val="00863A2E"/>
    <w:rsid w:val="00873DCA"/>
    <w:rsid w:val="008768CA"/>
    <w:rsid w:val="0088083B"/>
    <w:rsid w:val="008826B0"/>
    <w:rsid w:val="008964CC"/>
    <w:rsid w:val="008A479E"/>
    <w:rsid w:val="008A54F8"/>
    <w:rsid w:val="008A5EFF"/>
    <w:rsid w:val="008B2D3A"/>
    <w:rsid w:val="008C1634"/>
    <w:rsid w:val="008C384C"/>
    <w:rsid w:val="008C4A39"/>
    <w:rsid w:val="008D3B76"/>
    <w:rsid w:val="008D3F18"/>
    <w:rsid w:val="008E112D"/>
    <w:rsid w:val="008E69A6"/>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301F2"/>
    <w:rsid w:val="0093257B"/>
    <w:rsid w:val="00935B71"/>
    <w:rsid w:val="009426F4"/>
    <w:rsid w:val="00942EC2"/>
    <w:rsid w:val="00947ADF"/>
    <w:rsid w:val="00947F73"/>
    <w:rsid w:val="009545A1"/>
    <w:rsid w:val="009613BE"/>
    <w:rsid w:val="009648C8"/>
    <w:rsid w:val="009653C7"/>
    <w:rsid w:val="009732AB"/>
    <w:rsid w:val="009750A6"/>
    <w:rsid w:val="009876B4"/>
    <w:rsid w:val="00991277"/>
    <w:rsid w:val="00991C1A"/>
    <w:rsid w:val="009A758A"/>
    <w:rsid w:val="009B54B4"/>
    <w:rsid w:val="009B690C"/>
    <w:rsid w:val="009C2C1B"/>
    <w:rsid w:val="009C412B"/>
    <w:rsid w:val="009C47B5"/>
    <w:rsid w:val="009D181E"/>
    <w:rsid w:val="009E1B5E"/>
    <w:rsid w:val="009E4AB1"/>
    <w:rsid w:val="009F237D"/>
    <w:rsid w:val="009F2F14"/>
    <w:rsid w:val="009F37B7"/>
    <w:rsid w:val="009F3DCD"/>
    <w:rsid w:val="009F4887"/>
    <w:rsid w:val="009F4C31"/>
    <w:rsid w:val="009F5E43"/>
    <w:rsid w:val="00A03460"/>
    <w:rsid w:val="00A051F0"/>
    <w:rsid w:val="00A07446"/>
    <w:rsid w:val="00A10F02"/>
    <w:rsid w:val="00A14D24"/>
    <w:rsid w:val="00A164B4"/>
    <w:rsid w:val="00A17CD8"/>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B1652"/>
    <w:rsid w:val="00AB75CC"/>
    <w:rsid w:val="00AB7F3B"/>
    <w:rsid w:val="00AC0039"/>
    <w:rsid w:val="00AC135F"/>
    <w:rsid w:val="00AC4BA4"/>
    <w:rsid w:val="00AC54B7"/>
    <w:rsid w:val="00AC675E"/>
    <w:rsid w:val="00AC6BC6"/>
    <w:rsid w:val="00AC6D1E"/>
    <w:rsid w:val="00AD2973"/>
    <w:rsid w:val="00AD47EE"/>
    <w:rsid w:val="00AD5DD7"/>
    <w:rsid w:val="00AE03D3"/>
    <w:rsid w:val="00AE361D"/>
    <w:rsid w:val="00AE3797"/>
    <w:rsid w:val="00AE5821"/>
    <w:rsid w:val="00AE5A0B"/>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77748"/>
    <w:rsid w:val="00B83171"/>
    <w:rsid w:val="00B838F7"/>
    <w:rsid w:val="00B913A1"/>
    <w:rsid w:val="00B93086"/>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54B3"/>
    <w:rsid w:val="00C14737"/>
    <w:rsid w:val="00C1496A"/>
    <w:rsid w:val="00C15F7F"/>
    <w:rsid w:val="00C2281E"/>
    <w:rsid w:val="00C24837"/>
    <w:rsid w:val="00C26810"/>
    <w:rsid w:val="00C33079"/>
    <w:rsid w:val="00C34DDA"/>
    <w:rsid w:val="00C353F4"/>
    <w:rsid w:val="00C45231"/>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B51CC"/>
    <w:rsid w:val="00CC59FA"/>
    <w:rsid w:val="00CC794E"/>
    <w:rsid w:val="00CD0EA6"/>
    <w:rsid w:val="00CD45C9"/>
    <w:rsid w:val="00CD655A"/>
    <w:rsid w:val="00CE4C40"/>
    <w:rsid w:val="00CE4EDA"/>
    <w:rsid w:val="00CF20E3"/>
    <w:rsid w:val="00CF7615"/>
    <w:rsid w:val="00D008D3"/>
    <w:rsid w:val="00D04514"/>
    <w:rsid w:val="00D05632"/>
    <w:rsid w:val="00D07C26"/>
    <w:rsid w:val="00D17573"/>
    <w:rsid w:val="00D3057E"/>
    <w:rsid w:val="00D309CC"/>
    <w:rsid w:val="00D36FF0"/>
    <w:rsid w:val="00D41667"/>
    <w:rsid w:val="00D42AC7"/>
    <w:rsid w:val="00D46431"/>
    <w:rsid w:val="00D56A52"/>
    <w:rsid w:val="00D57972"/>
    <w:rsid w:val="00D673CA"/>
    <w:rsid w:val="00D675A9"/>
    <w:rsid w:val="00D733D5"/>
    <w:rsid w:val="00D738D6"/>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526C"/>
    <w:rsid w:val="00D970EA"/>
    <w:rsid w:val="00D97FCF"/>
    <w:rsid w:val="00DA14D7"/>
    <w:rsid w:val="00DA27C2"/>
    <w:rsid w:val="00DA60EC"/>
    <w:rsid w:val="00DA7A03"/>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76A"/>
    <w:rsid w:val="00DF05B0"/>
    <w:rsid w:val="00DF1E43"/>
    <w:rsid w:val="00DF259E"/>
    <w:rsid w:val="00DF2B1F"/>
    <w:rsid w:val="00DF6189"/>
    <w:rsid w:val="00DF62CD"/>
    <w:rsid w:val="00E00755"/>
    <w:rsid w:val="00E02E2B"/>
    <w:rsid w:val="00E05671"/>
    <w:rsid w:val="00E068AE"/>
    <w:rsid w:val="00E07D2B"/>
    <w:rsid w:val="00E100E0"/>
    <w:rsid w:val="00E144A6"/>
    <w:rsid w:val="00E1535D"/>
    <w:rsid w:val="00E1558D"/>
    <w:rsid w:val="00E16486"/>
    <w:rsid w:val="00E16509"/>
    <w:rsid w:val="00E22E0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7309"/>
    <w:rsid w:val="00E87A96"/>
    <w:rsid w:val="00E95C41"/>
    <w:rsid w:val="00E97A6A"/>
    <w:rsid w:val="00EA0077"/>
    <w:rsid w:val="00EA1FAD"/>
    <w:rsid w:val="00EA38BE"/>
    <w:rsid w:val="00EB22F4"/>
    <w:rsid w:val="00EB75DA"/>
    <w:rsid w:val="00EC3517"/>
    <w:rsid w:val="00EC454E"/>
    <w:rsid w:val="00EC4A25"/>
    <w:rsid w:val="00ED0045"/>
    <w:rsid w:val="00ED2E9E"/>
    <w:rsid w:val="00EE05D1"/>
    <w:rsid w:val="00EE0D55"/>
    <w:rsid w:val="00EE2719"/>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5358F"/>
    <w:rsid w:val="00F538FE"/>
    <w:rsid w:val="00F55E63"/>
    <w:rsid w:val="00F561B1"/>
    <w:rsid w:val="00F614F2"/>
    <w:rsid w:val="00F61745"/>
    <w:rsid w:val="00F62AEB"/>
    <w:rsid w:val="00F63841"/>
    <w:rsid w:val="00F64730"/>
    <w:rsid w:val="00F653B8"/>
    <w:rsid w:val="00F70647"/>
    <w:rsid w:val="00F751D9"/>
    <w:rsid w:val="00F75917"/>
    <w:rsid w:val="00F82261"/>
    <w:rsid w:val="00F8405D"/>
    <w:rsid w:val="00F86EF4"/>
    <w:rsid w:val="00F94A52"/>
    <w:rsid w:val="00FA1266"/>
    <w:rsid w:val="00FA2910"/>
    <w:rsid w:val="00FA50A2"/>
    <w:rsid w:val="00FA5C5F"/>
    <w:rsid w:val="00FA65D0"/>
    <w:rsid w:val="00FB33E0"/>
    <w:rsid w:val="00FB3AFD"/>
    <w:rsid w:val="00FB56EC"/>
    <w:rsid w:val="00FC1192"/>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6</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2024-10-04T20:25:00Z</dcterms:created>
  <dcterms:modified xsi:type="dcterms:W3CDTF">2024-10-07T15:02:00Z</dcterms:modified>
  <cp:category/>
</cp:coreProperties>
</file>